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66E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附件2</w:t>
      </w:r>
    </w:p>
    <w:p w14:paraId="40A20B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工作建议清单</w:t>
      </w:r>
    </w:p>
    <w:p w14:paraId="45A125C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tbl>
      <w:tblPr>
        <w:tblStyle w:val="5"/>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532"/>
        <w:gridCol w:w="4649"/>
        <w:gridCol w:w="1093"/>
      </w:tblGrid>
      <w:tr w14:paraId="78CA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88" w:type="dxa"/>
            <w:noWrap w:val="0"/>
            <w:vAlign w:val="center"/>
          </w:tcPr>
          <w:p w14:paraId="232303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楷体简体" w:cs="方正楷体简体"/>
                <w:b/>
                <w:bCs/>
                <w:color w:val="auto"/>
                <w:kern w:val="2"/>
                <w:sz w:val="28"/>
                <w:szCs w:val="28"/>
                <w:shd w:val="clear" w:color="auto" w:fill="FFFFFF"/>
                <w:vertAlign w:val="baseline"/>
                <w:lang w:val="en-US" w:eastAsia="zh-CN" w:bidi="ar"/>
              </w:rPr>
            </w:pPr>
            <w:r>
              <w:rPr>
                <w:rFonts w:hint="eastAsia" w:ascii="宋体" w:hAnsi="宋体" w:eastAsia="方正楷体简体" w:cs="方正楷体简体"/>
                <w:b/>
                <w:bCs/>
                <w:color w:val="auto"/>
                <w:kern w:val="2"/>
                <w:sz w:val="28"/>
                <w:szCs w:val="28"/>
                <w:shd w:val="clear" w:color="auto" w:fill="FFFFFF"/>
                <w:vertAlign w:val="baseline"/>
                <w:lang w:val="en-US" w:eastAsia="zh-CN" w:bidi="ar"/>
              </w:rPr>
              <w:t>序号</w:t>
            </w:r>
          </w:p>
        </w:tc>
        <w:tc>
          <w:tcPr>
            <w:tcW w:w="3532" w:type="dxa"/>
            <w:noWrap w:val="0"/>
            <w:vAlign w:val="center"/>
          </w:tcPr>
          <w:p w14:paraId="1C6027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楷体简体" w:cs="方正楷体简体"/>
                <w:b/>
                <w:bCs/>
                <w:color w:val="auto"/>
                <w:kern w:val="2"/>
                <w:sz w:val="28"/>
                <w:szCs w:val="28"/>
                <w:shd w:val="clear" w:color="auto" w:fill="FFFFFF"/>
                <w:vertAlign w:val="baseline"/>
                <w:lang w:val="en-US" w:eastAsia="zh-CN" w:bidi="ar"/>
              </w:rPr>
            </w:pPr>
            <w:r>
              <w:rPr>
                <w:rFonts w:hint="eastAsia" w:ascii="宋体" w:hAnsi="宋体" w:eastAsia="方正楷体简体" w:cs="方正楷体简体"/>
                <w:b/>
                <w:bCs/>
                <w:color w:val="auto"/>
                <w:kern w:val="2"/>
                <w:sz w:val="28"/>
                <w:szCs w:val="28"/>
                <w:shd w:val="clear" w:color="auto" w:fill="FFFFFF"/>
                <w:vertAlign w:val="baseline"/>
                <w:lang w:val="en-US" w:eastAsia="zh-CN" w:bidi="ar"/>
              </w:rPr>
              <w:t>隐患问题</w:t>
            </w:r>
          </w:p>
        </w:tc>
        <w:tc>
          <w:tcPr>
            <w:tcW w:w="4649" w:type="dxa"/>
            <w:noWrap w:val="0"/>
            <w:vAlign w:val="center"/>
          </w:tcPr>
          <w:p w14:paraId="62AF08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楷体简体" w:cs="方正楷体简体"/>
                <w:b/>
                <w:bCs/>
                <w:color w:val="auto"/>
                <w:kern w:val="2"/>
                <w:sz w:val="28"/>
                <w:szCs w:val="28"/>
                <w:shd w:val="clear" w:color="auto" w:fill="FFFFFF"/>
                <w:vertAlign w:val="baseline"/>
                <w:lang w:val="en-US" w:eastAsia="zh-CN" w:bidi="ar"/>
              </w:rPr>
            </w:pPr>
            <w:r>
              <w:rPr>
                <w:rFonts w:hint="eastAsia" w:ascii="宋体" w:hAnsi="宋体" w:eastAsia="方正楷体简体" w:cs="方正楷体简体"/>
                <w:b/>
                <w:bCs/>
                <w:color w:val="auto"/>
                <w:kern w:val="2"/>
                <w:sz w:val="28"/>
                <w:szCs w:val="28"/>
                <w:shd w:val="clear" w:color="auto" w:fill="FFFFFF"/>
                <w:vertAlign w:val="baseline"/>
                <w:lang w:val="en-US" w:eastAsia="zh-CN" w:bidi="ar"/>
              </w:rPr>
              <w:t>工作建议</w:t>
            </w:r>
          </w:p>
        </w:tc>
        <w:tc>
          <w:tcPr>
            <w:tcW w:w="1093" w:type="dxa"/>
            <w:noWrap w:val="0"/>
            <w:vAlign w:val="center"/>
          </w:tcPr>
          <w:p w14:paraId="15292A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楷体简体" w:cs="方正楷体简体"/>
                <w:b/>
                <w:bCs/>
                <w:color w:val="auto"/>
                <w:kern w:val="2"/>
                <w:sz w:val="28"/>
                <w:szCs w:val="28"/>
                <w:shd w:val="clear" w:color="auto" w:fill="FFFFFF"/>
                <w:vertAlign w:val="baseline"/>
                <w:lang w:val="en-US" w:eastAsia="zh-CN" w:bidi="ar"/>
              </w:rPr>
            </w:pPr>
            <w:r>
              <w:rPr>
                <w:rFonts w:hint="eastAsia" w:ascii="宋体" w:hAnsi="宋体" w:eastAsia="方正楷体简体" w:cs="方正楷体简体"/>
                <w:b/>
                <w:bCs/>
                <w:color w:val="auto"/>
                <w:kern w:val="2"/>
                <w:sz w:val="28"/>
                <w:szCs w:val="28"/>
                <w:shd w:val="clear" w:color="auto" w:fill="FFFFFF"/>
                <w:vertAlign w:val="baseline"/>
                <w:lang w:val="en-US" w:eastAsia="zh-CN" w:bidi="ar"/>
              </w:rPr>
              <w:t>备注</w:t>
            </w:r>
          </w:p>
        </w:tc>
      </w:tr>
      <w:tr w14:paraId="1DC2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noWrap w:val="0"/>
            <w:vAlign w:val="center"/>
          </w:tcPr>
          <w:p w14:paraId="1E8DC7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1</w:t>
            </w:r>
          </w:p>
        </w:tc>
        <w:tc>
          <w:tcPr>
            <w:tcW w:w="3532" w:type="dxa"/>
            <w:shd w:val="clear" w:color="auto" w:fill="auto"/>
            <w:noWrap w:val="0"/>
            <w:vAlign w:val="center"/>
          </w:tcPr>
          <w:p w14:paraId="505C5A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b w:val="0"/>
                <w:bCs w:val="0"/>
                <w:kern w:val="1"/>
                <w:sz w:val="28"/>
                <w:szCs w:val="28"/>
                <w:lang w:val="en-US" w:eastAsia="zh-CN" w:bidi="ar-SA"/>
              </w:rPr>
              <w:t>虽然为社区、连队配发了有限空间作业检测、救援装备，组建了</w:t>
            </w:r>
            <w:r>
              <w:rPr>
                <w:rFonts w:hint="eastAsia" w:ascii="宋体" w:hAnsi="宋体" w:eastAsia="方正仿宋简体" w:cs="方正仿宋简体"/>
                <w:color w:val="auto"/>
                <w:kern w:val="2"/>
                <w:sz w:val="28"/>
                <w:szCs w:val="28"/>
                <w:shd w:val="clear" w:color="auto" w:fill="FFFFFF"/>
                <w:vertAlign w:val="baseline"/>
                <w:lang w:val="en-US" w:eastAsia="zh-CN" w:bidi="ar"/>
              </w:rPr>
              <w:t>志愿救援队伍，</w:t>
            </w:r>
            <w:r>
              <w:rPr>
                <w:rFonts w:hint="eastAsia" w:ascii="宋体" w:hAnsi="宋体" w:eastAsia="方正仿宋简体" w:cs="方正仿宋简体"/>
                <w:b w:val="0"/>
                <w:bCs w:val="0"/>
                <w:kern w:val="1"/>
                <w:sz w:val="28"/>
                <w:szCs w:val="28"/>
                <w:lang w:val="en-US" w:eastAsia="zh-CN" w:bidi="ar-SA"/>
              </w:rPr>
              <w:t>但在人员使用、日常维护保养方面仍存在不熟练、不到位现象。</w:t>
            </w:r>
          </w:p>
        </w:tc>
        <w:tc>
          <w:tcPr>
            <w:tcW w:w="4649" w:type="dxa"/>
            <w:noWrap w:val="0"/>
            <w:vAlign w:val="center"/>
          </w:tcPr>
          <w:p w14:paraId="336156E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深入开展有限空间专项整治行动，定期对有限空间业务、污水处理等有限空间从业人员和社区志愿救援队伍开展安全教育和作业流程培训，提升人员安全意识和操作技能；建立有限空间作业、应急救援装备分布图，强化日常保养，让群众知晓应急救援装备的类型、放置位置、责任人、使用人，开展作业能找到地方找对人；每年科学制定应急演练计划，以连队、社区、企业、网格为基本单元做到应急演练全覆盖。</w:t>
            </w:r>
          </w:p>
        </w:tc>
        <w:tc>
          <w:tcPr>
            <w:tcW w:w="1093" w:type="dxa"/>
            <w:noWrap w:val="0"/>
            <w:vAlign w:val="center"/>
          </w:tcPr>
          <w:p w14:paraId="6A8862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楷体简体" w:cs="方正楷体简体"/>
                <w:color w:val="auto"/>
                <w:kern w:val="2"/>
                <w:sz w:val="28"/>
                <w:szCs w:val="28"/>
                <w:shd w:val="clear" w:color="auto" w:fill="FFFFFF"/>
                <w:vertAlign w:val="baseline"/>
                <w:lang w:val="en-US" w:eastAsia="zh-CN" w:bidi="ar"/>
              </w:rPr>
            </w:pPr>
          </w:p>
        </w:tc>
      </w:tr>
      <w:tr w14:paraId="304E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noWrap w:val="0"/>
            <w:vAlign w:val="center"/>
          </w:tcPr>
          <w:p w14:paraId="7A7D14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2</w:t>
            </w:r>
          </w:p>
        </w:tc>
        <w:tc>
          <w:tcPr>
            <w:tcW w:w="3532" w:type="dxa"/>
            <w:shd w:val="clear" w:color="auto" w:fill="auto"/>
            <w:noWrap w:val="0"/>
            <w:vAlign w:val="center"/>
          </w:tcPr>
          <w:p w14:paraId="2765034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对一些存在硫化氢、一氧化碳和中毒窒息风险的有限空间落实上锁等物理隔离措施未达到全覆盖；一些围栏、锁具隔离措施因长期日晒，未经常维护导致损坏。</w:t>
            </w:r>
          </w:p>
        </w:tc>
        <w:tc>
          <w:tcPr>
            <w:tcW w:w="4649" w:type="dxa"/>
            <w:noWrap w:val="0"/>
            <w:vAlign w:val="center"/>
          </w:tcPr>
          <w:p w14:paraId="02D1BE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深入开展有限空间专项整治行动，对存在硫化氢、一氧化碳和中毒窒息风险的有限空间进行登记造册，定期对有限空间情况进行摸排更新，督促生产经营单位落实好相应物理隔离措施；针对存在硫化氢、一氧化碳和中毒窒息风险的有限空间开展作业的，必须报社区和属地主管部门审核，做到“先报备后作业、不报备不作业”。</w:t>
            </w:r>
          </w:p>
        </w:tc>
        <w:tc>
          <w:tcPr>
            <w:tcW w:w="1093" w:type="dxa"/>
            <w:shd w:val="clear" w:color="auto" w:fill="auto"/>
            <w:noWrap w:val="0"/>
            <w:vAlign w:val="center"/>
          </w:tcPr>
          <w:p w14:paraId="11297A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p>
        </w:tc>
      </w:tr>
      <w:tr w14:paraId="0636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noWrap w:val="0"/>
            <w:vAlign w:val="center"/>
          </w:tcPr>
          <w:p w14:paraId="3E0558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3</w:t>
            </w:r>
          </w:p>
        </w:tc>
        <w:tc>
          <w:tcPr>
            <w:tcW w:w="3532" w:type="dxa"/>
            <w:shd w:val="clear" w:color="auto" w:fill="auto"/>
            <w:noWrap w:val="0"/>
            <w:vAlign w:val="center"/>
          </w:tcPr>
          <w:p w14:paraId="034B03A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厂内辨识出有限空间1处，宜再次进行全面核实，确保不漏一处。</w:t>
            </w:r>
          </w:p>
        </w:tc>
        <w:tc>
          <w:tcPr>
            <w:tcW w:w="4649" w:type="dxa"/>
            <w:noWrap w:val="0"/>
            <w:vAlign w:val="center"/>
          </w:tcPr>
          <w:p w14:paraId="204CF0E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再次对阿拉尔市康溪寨乐园进行全面辨识，针对排查发现的、辨识为有限空间的场所、窨井，围绕存在的事故可能辨识其存在的风险，设置好安全风险告知。</w:t>
            </w:r>
          </w:p>
        </w:tc>
        <w:tc>
          <w:tcPr>
            <w:tcW w:w="1093" w:type="dxa"/>
            <w:noWrap w:val="0"/>
            <w:vAlign w:val="center"/>
          </w:tcPr>
          <w:p w14:paraId="79C51C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p>
        </w:tc>
      </w:tr>
      <w:tr w14:paraId="3F94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noWrap w:val="0"/>
            <w:vAlign w:val="center"/>
          </w:tcPr>
          <w:p w14:paraId="400B43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4</w:t>
            </w:r>
          </w:p>
        </w:tc>
        <w:tc>
          <w:tcPr>
            <w:tcW w:w="3532" w:type="dxa"/>
            <w:shd w:val="clear" w:color="auto" w:fill="auto"/>
            <w:noWrap w:val="0"/>
            <w:vAlign w:val="center"/>
          </w:tcPr>
          <w:p w14:paraId="580308C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化粪池有限空间风险告知牌责任单位、责任人员及相应紧急联系电话未填写</w:t>
            </w:r>
          </w:p>
        </w:tc>
        <w:tc>
          <w:tcPr>
            <w:tcW w:w="4649" w:type="dxa"/>
            <w:noWrap w:val="0"/>
            <w:vAlign w:val="center"/>
          </w:tcPr>
          <w:p w14:paraId="2DC741C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按照实际在告知牌上填写责任单位、责任人员以及联系方式。</w:t>
            </w:r>
          </w:p>
        </w:tc>
        <w:tc>
          <w:tcPr>
            <w:tcW w:w="1093" w:type="dxa"/>
            <w:shd w:val="clear" w:color="auto" w:fill="auto"/>
            <w:noWrap w:val="0"/>
            <w:vAlign w:val="center"/>
          </w:tcPr>
          <w:p w14:paraId="610A32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p>
        </w:tc>
      </w:tr>
      <w:tr w14:paraId="7177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noWrap w:val="0"/>
            <w:vAlign w:val="center"/>
          </w:tcPr>
          <w:p w14:paraId="4826CC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5</w:t>
            </w:r>
          </w:p>
        </w:tc>
        <w:tc>
          <w:tcPr>
            <w:tcW w:w="3532" w:type="dxa"/>
            <w:shd w:val="clear" w:color="auto" w:fill="auto"/>
            <w:noWrap w:val="0"/>
            <w:vAlign w:val="center"/>
          </w:tcPr>
          <w:p w14:paraId="322334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建立的企业安全生产责任制中，主要负责人安全生产职责和管理人员职责应按照《安全生产法》第二十一条、第二十五条修改完善。</w:t>
            </w:r>
          </w:p>
        </w:tc>
        <w:tc>
          <w:tcPr>
            <w:tcW w:w="4649" w:type="dxa"/>
            <w:noWrap w:val="0"/>
            <w:vAlign w:val="center"/>
          </w:tcPr>
          <w:p w14:paraId="006F85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按照《安全生产法》第二十一条、第二十五条对主要负责人、安全管理人员规定的七项职责进行完善；待生产经营后，根据实际管理组织架构，调整相应从业人员安全管理职责。</w:t>
            </w:r>
          </w:p>
        </w:tc>
        <w:tc>
          <w:tcPr>
            <w:tcW w:w="1093" w:type="dxa"/>
            <w:shd w:val="clear" w:color="auto" w:fill="auto"/>
            <w:noWrap w:val="0"/>
            <w:vAlign w:val="center"/>
          </w:tcPr>
          <w:p w14:paraId="2B52B9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p>
        </w:tc>
      </w:tr>
      <w:tr w14:paraId="2184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noWrap w:val="0"/>
            <w:vAlign w:val="center"/>
          </w:tcPr>
          <w:p w14:paraId="710DC3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6</w:t>
            </w:r>
          </w:p>
        </w:tc>
        <w:tc>
          <w:tcPr>
            <w:tcW w:w="3532" w:type="dxa"/>
            <w:shd w:val="clear" w:color="auto" w:fill="auto"/>
            <w:noWrap w:val="0"/>
            <w:vAlign w:val="center"/>
          </w:tcPr>
          <w:p w14:paraId="240711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《有限空间作业人发包方管理制度》中存在“一氧化碳作业浓度含量低于30ppm、硫化氢浓度应低于10ppm”表述内容，应更正为CO浓度应低于25ppm、h</w:t>
            </w:r>
            <w:r>
              <w:rPr>
                <w:rFonts w:hint="eastAsia" w:ascii="宋体" w:hAnsi="宋体" w:eastAsia="方正仿宋简体" w:cs="方正仿宋简体"/>
                <w:color w:val="auto"/>
                <w:kern w:val="2"/>
                <w:sz w:val="28"/>
                <w:szCs w:val="28"/>
                <w:shd w:val="clear" w:color="auto" w:fill="FFFFFF"/>
                <w:vertAlign w:val="subscript"/>
                <w:lang w:val="en-US" w:eastAsia="zh-CN" w:bidi="ar"/>
              </w:rPr>
              <w:t>2</w:t>
            </w:r>
            <w:r>
              <w:rPr>
                <w:rFonts w:hint="eastAsia" w:ascii="宋体" w:hAnsi="宋体" w:eastAsia="方正仿宋简体" w:cs="方正仿宋简体"/>
                <w:color w:val="auto"/>
                <w:kern w:val="2"/>
                <w:sz w:val="28"/>
                <w:szCs w:val="28"/>
                <w:shd w:val="clear" w:color="auto" w:fill="FFFFFF"/>
                <w:vertAlign w:val="baseline"/>
                <w:lang w:val="en-US" w:eastAsia="zh-CN" w:bidi="ar"/>
              </w:rPr>
              <w:t>s浓度应低于7ppm。</w:t>
            </w:r>
          </w:p>
        </w:tc>
        <w:tc>
          <w:tcPr>
            <w:tcW w:w="4649" w:type="dxa"/>
            <w:noWrap w:val="0"/>
            <w:vAlign w:val="center"/>
          </w:tcPr>
          <w:p w14:paraId="55F4AF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r>
              <w:rPr>
                <w:rFonts w:hint="eastAsia" w:ascii="宋体" w:hAnsi="宋体" w:eastAsia="方正仿宋简体" w:cs="方正仿宋简体"/>
                <w:color w:val="auto"/>
                <w:kern w:val="2"/>
                <w:sz w:val="28"/>
                <w:szCs w:val="28"/>
                <w:shd w:val="clear" w:color="auto" w:fill="FFFFFF"/>
                <w:vertAlign w:val="baseline"/>
                <w:lang w:val="en-US" w:eastAsia="zh-CN" w:bidi="ar"/>
              </w:rPr>
              <w:t>修改《有限空间作业人发包方管理制度》，将“一氧化碳作业浓度含量低于30ppm、硫化氢浓度应低于10ppm”更正为“一氧化碳作业浓度含量低于25ppm、硫化氢浓度应低于7ppm”</w:t>
            </w:r>
          </w:p>
        </w:tc>
        <w:tc>
          <w:tcPr>
            <w:tcW w:w="1093" w:type="dxa"/>
            <w:shd w:val="clear" w:color="auto" w:fill="auto"/>
            <w:noWrap w:val="0"/>
            <w:vAlign w:val="center"/>
          </w:tcPr>
          <w:p w14:paraId="71E95C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color w:val="auto"/>
                <w:kern w:val="2"/>
                <w:sz w:val="28"/>
                <w:szCs w:val="28"/>
                <w:shd w:val="clear" w:color="auto" w:fill="FFFFFF"/>
                <w:vertAlign w:val="baseline"/>
                <w:lang w:val="en-US" w:eastAsia="zh-CN" w:bidi="ar"/>
              </w:rPr>
            </w:pPr>
          </w:p>
        </w:tc>
      </w:tr>
    </w:tbl>
    <w:p w14:paraId="77A5531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747A2"/>
    <w:rsid w:val="38A7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0"/>
      <w:ind w:firstLine="420" w:firstLineChars="100"/>
      <w:jc w:val="center"/>
    </w:pPr>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2025-10-13T03:21:00Z</dcterms:created>
  <dc:creator>不是唯一</dc:creator>
  <cp:lastModifiedBy>不是唯一</cp:lastModifiedBy>
  <dcterms:modified xsi:type="dcterms:W3CDTF">2025-10-13T03:21:30Z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E5AAA7E5D3B3474A874D44B368F4B830_11</vt:lpwstr>
  </property>
  <property fmtid="{D5CDD505-2E9C-101B-9397-08002B2CF9AE}" pid="4" name="KSOTemplateDocerSaveRecord">
    <vt:lpwstr>eyJoZGlkIjoiZDZjYmM1ZDRmZWNkYmU0OTRkMDM4YzhhMjhiNWVjNDgiLCJ1c2VySWQiOiI1NDA4NDA3In0=</vt:lpwstr>
  </property>
</Properties>
</file>