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C6" w:rsidRDefault="002012C6">
      <w:pPr>
        <w:spacing w:line="264" w:lineRule="auto"/>
        <w:rPr>
          <w:color w:val="0000FF"/>
          <w:sz w:val="36"/>
        </w:rPr>
      </w:pPr>
    </w:p>
    <w:p w:rsidR="002012C6" w:rsidRDefault="002012C6">
      <w:pPr>
        <w:pStyle w:val="Default"/>
        <w:rPr>
          <w:color w:val="0000FF"/>
          <w:sz w:val="28"/>
        </w:rPr>
      </w:pPr>
    </w:p>
    <w:p w:rsidR="002012C6" w:rsidRDefault="002012C6">
      <w:pPr>
        <w:pStyle w:val="Default"/>
        <w:spacing w:line="264" w:lineRule="auto"/>
        <w:rPr>
          <w:color w:val="0000FF"/>
          <w:sz w:val="28"/>
        </w:rPr>
      </w:pPr>
    </w:p>
    <w:p w:rsidR="002012C6" w:rsidRDefault="002012C6">
      <w:pPr>
        <w:pStyle w:val="Default"/>
        <w:spacing w:line="264" w:lineRule="auto"/>
        <w:rPr>
          <w:color w:val="0000FF"/>
          <w:sz w:val="48"/>
          <w:szCs w:val="44"/>
        </w:rPr>
      </w:pPr>
    </w:p>
    <w:p w:rsidR="002012C6" w:rsidRDefault="002012C6"/>
    <w:p w:rsidR="002012C6" w:rsidRDefault="002012C6">
      <w:pPr>
        <w:spacing w:line="560" w:lineRule="exact"/>
        <w:rPr>
          <w:color w:val="0000FF"/>
          <w:sz w:val="52"/>
        </w:rPr>
      </w:pPr>
      <w:r>
        <w:rPr>
          <w:noProof/>
        </w:rPr>
        <w:pict>
          <v:shapetype id="_x0000_t202" coordsize="21600,21600" o:spt="202" path="m,l,21600r21600,l21600,xe">
            <v:stroke joinstyle="miter"/>
            <v:path gradientshapeok="t" o:connecttype="rect"/>
          </v:shapetype>
          <v:shape id="文本框 3" o:spid="_x0000_s1027" type="#_x0000_t202" style="position:absolute;left:0;text-align:left;margin-left:99pt;margin-top:16.75pt;width:232.2pt;height:39.5pt;z-index:251658240" strokecolor="white">
            <v:textbox>
              <w:txbxContent>
                <w:p w:rsidR="002012C6" w:rsidRDefault="002012C6">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2022</w:t>
                  </w:r>
                  <w:r>
                    <w:rPr>
                      <w:rFonts w:hint="eastAsia"/>
                    </w:rPr>
                    <w:t>〕</w:t>
                  </w:r>
                  <w:r>
                    <w:t>17</w:t>
                  </w:r>
                  <w:r>
                    <w:rPr>
                      <w:rFonts w:hint="eastAsia"/>
                    </w:rPr>
                    <w:t>号</w:t>
                  </w:r>
                </w:p>
              </w:txbxContent>
            </v:textbox>
          </v:shape>
        </w:pict>
      </w:r>
    </w:p>
    <w:p w:rsidR="002012C6" w:rsidRDefault="002012C6">
      <w:pPr>
        <w:pStyle w:val="Default"/>
        <w:rPr>
          <w:color w:val="auto"/>
        </w:rPr>
      </w:pPr>
    </w:p>
    <w:p w:rsidR="002012C6" w:rsidRDefault="002012C6">
      <w:pPr>
        <w:spacing w:line="560" w:lineRule="exact"/>
        <w:jc w:val="center"/>
        <w:rPr>
          <w:rFonts w:eastAsia="方正小标宋简体"/>
          <w:w w:val="95"/>
          <w:sz w:val="44"/>
          <w:szCs w:val="44"/>
        </w:rPr>
      </w:pPr>
      <w:r>
        <w:rPr>
          <w:rFonts w:eastAsia="方正小标宋简体" w:hint="eastAsia"/>
          <w:w w:val="95"/>
          <w:sz w:val="44"/>
          <w:szCs w:val="44"/>
        </w:rPr>
        <w:t>关于阿拉尔大漠天然气有限责任公司阿拉尔市恒安加油加气站建设项目环境影响报告表的批复</w:t>
      </w:r>
    </w:p>
    <w:p w:rsidR="002012C6" w:rsidRDefault="002012C6">
      <w:pPr>
        <w:adjustRightInd w:val="0"/>
        <w:snapToGrid w:val="0"/>
        <w:spacing w:line="560" w:lineRule="exact"/>
      </w:pPr>
    </w:p>
    <w:p w:rsidR="002012C6" w:rsidRDefault="002012C6">
      <w:pPr>
        <w:adjustRightInd w:val="0"/>
        <w:spacing w:line="560" w:lineRule="exact"/>
        <w:rPr>
          <w:rFonts w:ascii="仿宋_GB2312" w:hAnsi="仿宋" w:cs="仿宋"/>
        </w:rPr>
      </w:pPr>
      <w:r>
        <w:rPr>
          <w:rFonts w:ascii="仿宋_GB2312" w:hAnsi="仿宋" w:hint="eastAsia"/>
          <w:spacing w:val="-10"/>
        </w:rPr>
        <w:t>阿拉尔大漠天然气有限责任公司</w:t>
      </w:r>
      <w:r>
        <w:rPr>
          <w:rFonts w:ascii="仿宋_GB2312" w:hAnsi="仿宋" w:cs="仿宋" w:hint="eastAsia"/>
        </w:rPr>
        <w:t>：</w:t>
      </w:r>
    </w:p>
    <w:p w:rsidR="002012C6" w:rsidRDefault="002012C6" w:rsidP="00EF4247">
      <w:pPr>
        <w:adjustRightInd w:val="0"/>
        <w:snapToGrid w:val="0"/>
        <w:spacing w:line="560" w:lineRule="exact"/>
        <w:ind w:firstLineChars="200" w:firstLine="609"/>
        <w:rPr>
          <w:rFonts w:ascii="仿宋_GB2312"/>
        </w:rPr>
      </w:pPr>
      <w:r>
        <w:rPr>
          <w:rFonts w:ascii="仿宋_GB2312" w:hint="eastAsia"/>
        </w:rPr>
        <w:t>你单位报送的《关于审批拉尔大漠天然气有限责任公司阿拉尔市恒安加油加气站建设项目环境影响报告表的请示》及《阿拉尔大漠天然气有限责任公司阿拉尔市恒安加油加气站建设项目环境影响报告表》（以下简称“报告表”）收悉。经专家审查和研究，现批复如下：</w:t>
      </w:r>
    </w:p>
    <w:p w:rsidR="002012C6" w:rsidRDefault="002012C6" w:rsidP="00EF4247">
      <w:pPr>
        <w:adjustRightInd w:val="0"/>
        <w:snapToGrid w:val="0"/>
        <w:spacing w:line="560" w:lineRule="exact"/>
        <w:ind w:firstLineChars="200" w:firstLine="609"/>
        <w:rPr>
          <w:rFonts w:ascii="仿宋_GB2312" w:cs="仿宋_GB2312"/>
        </w:rPr>
      </w:pPr>
      <w:r>
        <w:rPr>
          <w:rFonts w:ascii="仿宋_GB2312" w:hAnsi="仿宋_GB2312" w:cs="仿宋_GB2312" w:hint="eastAsia"/>
        </w:rPr>
        <w:t>一、该</w:t>
      </w:r>
      <w:r>
        <w:rPr>
          <w:rFonts w:hint="eastAsia"/>
        </w:rPr>
        <w:t>项目位于阿拉尔经济技术开发区精细石油化工片区（化工园区）Ⅰ区，东南侧为东环路，西侧为经一路，北侧为经四路，占地面</w:t>
      </w:r>
      <w:r>
        <w:rPr>
          <w:rFonts w:ascii="仿宋_GB2312" w:hAnsi="仿宋_GB2312" w:cs="仿宋_GB2312" w:hint="eastAsia"/>
        </w:rPr>
        <w:t>积为</w:t>
      </w:r>
      <w:r>
        <w:rPr>
          <w:rFonts w:ascii="仿宋_GB2312" w:hAnsi="仿宋_GB2312" w:cs="仿宋_GB2312"/>
        </w:rPr>
        <w:t>18262.29</w:t>
      </w:r>
      <w:r>
        <w:rPr>
          <w:rFonts w:ascii="仿宋_GB2312" w:hAnsi="仿宋_GB2312" w:cs="仿宋_GB2312" w:hint="eastAsia"/>
        </w:rPr>
        <w:t>平方米。项目地理位置坐标为东经</w:t>
      </w:r>
      <w:r>
        <w:rPr>
          <w:rFonts w:ascii="仿宋_GB2312" w:hAnsi="仿宋_GB2312" w:cs="仿宋_GB2312"/>
        </w:rPr>
        <w:t>81</w:t>
      </w:r>
      <w:r>
        <w:rPr>
          <w:rFonts w:ascii="仿宋_GB2312" w:hAnsi="仿宋_GB2312" w:cs="仿宋_GB2312" w:hint="eastAsia"/>
        </w:rPr>
        <w:t>°</w:t>
      </w:r>
      <w:r>
        <w:rPr>
          <w:rFonts w:ascii="仿宋_GB2312" w:hAnsi="仿宋_GB2312" w:cs="仿宋_GB2312"/>
        </w:rPr>
        <w:t>12</w:t>
      </w:r>
      <w:r>
        <w:rPr>
          <w:rFonts w:ascii="仿宋_GB2312" w:hAnsi="仿宋_GB2312" w:cs="仿宋_GB2312" w:hint="eastAsia"/>
        </w:rPr>
        <w:t>′</w:t>
      </w:r>
      <w:r>
        <w:rPr>
          <w:rFonts w:ascii="仿宋_GB2312" w:hAnsi="仿宋_GB2312" w:cs="仿宋_GB2312"/>
        </w:rPr>
        <w:t>22.052</w:t>
      </w:r>
      <w:r>
        <w:rPr>
          <w:rFonts w:ascii="仿宋_GB2312" w:hAnsi="仿宋_GB2312" w:cs="仿宋_GB2312" w:hint="eastAsia"/>
        </w:rPr>
        <w:t>″，北纬</w:t>
      </w:r>
      <w:r>
        <w:rPr>
          <w:rFonts w:ascii="仿宋_GB2312" w:hAnsi="仿宋_GB2312" w:cs="仿宋_GB2312"/>
        </w:rPr>
        <w:t>40</w:t>
      </w:r>
      <w:r>
        <w:rPr>
          <w:rFonts w:ascii="仿宋_GB2312" w:hAnsi="仿宋_GB2312" w:cs="仿宋_GB2312" w:hint="eastAsia"/>
        </w:rPr>
        <w:t>°</w:t>
      </w:r>
      <w:r>
        <w:rPr>
          <w:rFonts w:ascii="仿宋_GB2312" w:hAnsi="仿宋_GB2312" w:cs="仿宋_GB2312"/>
        </w:rPr>
        <w:t>35</w:t>
      </w:r>
      <w:r>
        <w:rPr>
          <w:rFonts w:ascii="仿宋_GB2312" w:hAnsi="仿宋_GB2312" w:cs="仿宋_GB2312" w:hint="eastAsia"/>
        </w:rPr>
        <w:t>′</w:t>
      </w:r>
      <w:r>
        <w:rPr>
          <w:rFonts w:ascii="仿宋_GB2312" w:hAnsi="仿宋_GB2312" w:cs="仿宋_GB2312"/>
        </w:rPr>
        <w:t>31.668</w:t>
      </w:r>
      <w:r>
        <w:rPr>
          <w:rFonts w:ascii="仿宋_GB2312" w:hAnsi="仿宋_GB2312" w:cs="仿宋_GB2312" w:hint="eastAsia"/>
        </w:rPr>
        <w:t>″。主要建设内容包括：加油加气合建站</w:t>
      </w:r>
      <w:r>
        <w:rPr>
          <w:rFonts w:ascii="仿宋_GB2312" w:hAnsi="仿宋_GB2312" w:cs="仿宋_GB2312"/>
        </w:rPr>
        <w:t>1</w:t>
      </w:r>
      <w:r>
        <w:rPr>
          <w:rFonts w:ascii="仿宋_GB2312" w:hAnsi="仿宋_GB2312" w:cs="仿宋_GB2312" w:hint="eastAsia"/>
        </w:rPr>
        <w:t>座，加油站部分设置</w:t>
      </w:r>
      <w:r>
        <w:rPr>
          <w:rFonts w:ascii="仿宋_GB2312" w:hAnsi="仿宋_GB2312" w:cs="仿宋_GB2312"/>
        </w:rPr>
        <w:t>2</w:t>
      </w:r>
      <w:r>
        <w:rPr>
          <w:rFonts w:ascii="仿宋_GB2312" w:hAnsi="仿宋_GB2312" w:cs="仿宋_GB2312" w:hint="eastAsia"/>
        </w:rPr>
        <w:t>具</w:t>
      </w:r>
      <w:r>
        <w:rPr>
          <w:rFonts w:ascii="仿宋_GB2312" w:hAnsi="仿宋_GB2312" w:cs="仿宋_GB2312"/>
        </w:rPr>
        <w:t>SF</w:t>
      </w:r>
      <w:r>
        <w:rPr>
          <w:rFonts w:ascii="仿宋_GB2312" w:hAnsi="仿宋_GB2312" w:cs="仿宋_GB2312" w:hint="eastAsia"/>
        </w:rPr>
        <w:t>型</w:t>
      </w:r>
      <w:r>
        <w:rPr>
          <w:rFonts w:ascii="仿宋_GB2312" w:hAnsi="仿宋_GB2312" w:cs="仿宋_GB2312"/>
        </w:rPr>
        <w:t>30 m</w:t>
      </w:r>
      <w:r>
        <w:rPr>
          <w:rFonts w:ascii="仿宋_GB2312" w:hAnsi="仿宋_GB2312" w:cs="仿宋_GB2312"/>
          <w:vertAlign w:val="superscript"/>
        </w:rPr>
        <w:t>3</w:t>
      </w:r>
      <w:r>
        <w:rPr>
          <w:rFonts w:ascii="仿宋_GB2312" w:hAnsi="仿宋_GB2312" w:cs="仿宋_GB2312" w:hint="eastAsia"/>
        </w:rPr>
        <w:t>汽油储罐，</w:t>
      </w:r>
      <w:r>
        <w:rPr>
          <w:rFonts w:ascii="仿宋_GB2312" w:hAnsi="仿宋_GB2312" w:cs="仿宋_GB2312"/>
        </w:rPr>
        <w:t>2</w:t>
      </w:r>
      <w:r>
        <w:rPr>
          <w:rFonts w:ascii="仿宋_GB2312" w:hAnsi="仿宋_GB2312" w:cs="仿宋_GB2312" w:hint="eastAsia"/>
        </w:rPr>
        <w:t>具</w:t>
      </w:r>
      <w:r>
        <w:rPr>
          <w:rFonts w:ascii="仿宋_GB2312" w:hAnsi="仿宋_GB2312" w:cs="仿宋_GB2312"/>
        </w:rPr>
        <w:t>SF</w:t>
      </w:r>
      <w:r>
        <w:rPr>
          <w:rFonts w:ascii="仿宋_GB2312" w:hAnsi="仿宋_GB2312" w:cs="仿宋_GB2312" w:hint="eastAsia"/>
        </w:rPr>
        <w:t>型</w:t>
      </w:r>
      <w:r>
        <w:rPr>
          <w:rFonts w:ascii="仿宋_GB2312" w:hAnsi="仿宋_GB2312" w:cs="仿宋_GB2312"/>
        </w:rPr>
        <w:t>50m</w:t>
      </w:r>
      <w:r>
        <w:rPr>
          <w:rFonts w:ascii="仿宋_GB2312" w:hAnsi="仿宋_GB2312" w:cs="仿宋_GB2312"/>
          <w:vertAlign w:val="superscript"/>
        </w:rPr>
        <w:t>3</w:t>
      </w:r>
      <w:r>
        <w:rPr>
          <w:rFonts w:ascii="仿宋_GB2312" w:hAnsi="仿宋_GB2312" w:cs="仿宋_GB2312" w:hint="eastAsia"/>
        </w:rPr>
        <w:t>柴油储罐，</w:t>
      </w:r>
      <w:r>
        <w:rPr>
          <w:rFonts w:ascii="仿宋_GB2312" w:hAnsi="仿宋_GB2312" w:cs="仿宋_GB2312"/>
        </w:rPr>
        <w:t>7</w:t>
      </w:r>
      <w:r>
        <w:rPr>
          <w:rFonts w:ascii="仿宋_GB2312" w:hAnsi="仿宋_GB2312" w:cs="仿宋_GB2312" w:hint="eastAsia"/>
        </w:rPr>
        <w:t>台双枪加油机；</w:t>
      </w:r>
      <w:r>
        <w:rPr>
          <w:rFonts w:ascii="仿宋_GB2312" w:hAnsi="仿宋_GB2312" w:cs="仿宋_GB2312"/>
        </w:rPr>
        <w:t>LNG</w:t>
      </w:r>
      <w:r>
        <w:rPr>
          <w:rFonts w:ascii="仿宋_GB2312" w:hAnsi="仿宋_GB2312" w:cs="仿宋_GB2312" w:hint="eastAsia"/>
        </w:rPr>
        <w:t>加气部分设置一台</w:t>
      </w:r>
      <w:r>
        <w:rPr>
          <w:rFonts w:ascii="仿宋_GB2312" w:hAnsi="仿宋_GB2312" w:cs="仿宋_GB2312"/>
        </w:rPr>
        <w:t>60m</w:t>
      </w:r>
      <w:r>
        <w:rPr>
          <w:rFonts w:ascii="仿宋_GB2312" w:hAnsi="仿宋_GB2312" w:cs="仿宋_GB2312"/>
          <w:vertAlign w:val="superscript"/>
        </w:rPr>
        <w:t>3</w:t>
      </w:r>
      <w:r>
        <w:rPr>
          <w:rFonts w:ascii="仿宋_GB2312" w:hAnsi="仿宋_GB2312" w:cs="仿宋_GB2312" w:hint="eastAsia"/>
        </w:rPr>
        <w:t>储罐，一台潜液泵撬，一台卸车橇、一台</w:t>
      </w:r>
      <w:r>
        <w:rPr>
          <w:rFonts w:ascii="仿宋_GB2312" w:hAnsi="仿宋_GB2312" w:cs="仿宋_GB2312"/>
        </w:rPr>
        <w:t>BOG</w:t>
      </w:r>
      <w:r>
        <w:rPr>
          <w:rFonts w:ascii="仿宋_GB2312" w:hAnsi="仿宋_GB2312" w:cs="仿宋_GB2312" w:hint="eastAsia"/>
        </w:rPr>
        <w:t>橇及</w:t>
      </w:r>
      <w:r>
        <w:rPr>
          <w:rFonts w:ascii="仿宋_GB2312" w:hAnsi="仿宋_GB2312" w:cs="仿宋_GB2312"/>
        </w:rPr>
        <w:t>2</w:t>
      </w:r>
      <w:r>
        <w:rPr>
          <w:rFonts w:ascii="仿宋_GB2312" w:hAnsi="仿宋_GB2312" w:cs="仿宋_GB2312" w:hint="eastAsia"/>
        </w:rPr>
        <w:t>台</w:t>
      </w:r>
      <w:r>
        <w:rPr>
          <w:rFonts w:ascii="仿宋_GB2312" w:hAnsi="仿宋_GB2312" w:cs="仿宋_GB2312"/>
        </w:rPr>
        <w:t>LNG</w:t>
      </w:r>
      <w:r>
        <w:rPr>
          <w:rFonts w:ascii="仿宋_GB2312" w:hAnsi="仿宋_GB2312" w:cs="仿宋_GB2312" w:hint="eastAsia"/>
        </w:rPr>
        <w:t>双枪加气机；</w:t>
      </w:r>
      <w:r>
        <w:rPr>
          <w:rFonts w:ascii="仿宋_GB2312" w:hAnsi="仿宋_GB2312" w:cs="仿宋_GB2312"/>
        </w:rPr>
        <w:t>CNG</w:t>
      </w:r>
      <w:r>
        <w:rPr>
          <w:rFonts w:ascii="仿宋_GB2312" w:hAnsi="仿宋_GB2312" w:cs="仿宋_GB2312" w:hint="eastAsia"/>
        </w:rPr>
        <w:t>加气部分设置一套水容积为</w:t>
      </w:r>
      <w:r>
        <w:rPr>
          <w:rFonts w:ascii="仿宋_GB2312" w:hAnsi="仿宋_GB2312" w:cs="仿宋_GB2312"/>
        </w:rPr>
        <w:t>12m</w:t>
      </w:r>
      <w:r>
        <w:rPr>
          <w:rFonts w:ascii="仿宋_GB2312" w:hAnsi="仿宋_GB2312" w:cs="仿宋_GB2312"/>
          <w:vertAlign w:val="superscript"/>
        </w:rPr>
        <w:t>3</w:t>
      </w:r>
      <w:r>
        <w:rPr>
          <w:rFonts w:ascii="仿宋_GB2312" w:hAnsi="仿宋_GB2312" w:cs="仿宋_GB2312" w:hint="eastAsia"/>
        </w:rPr>
        <w:t>储气瓶组及配套工艺设备，设置</w:t>
      </w:r>
      <w:r>
        <w:rPr>
          <w:rFonts w:ascii="仿宋_GB2312" w:hAnsi="仿宋_GB2312" w:cs="仿宋_GB2312"/>
        </w:rPr>
        <w:t>7</w:t>
      </w:r>
      <w:r>
        <w:rPr>
          <w:rFonts w:ascii="仿宋_GB2312" w:hAnsi="仿宋_GB2312" w:cs="仿宋_GB2312" w:hint="eastAsia"/>
        </w:rPr>
        <w:t>台三线双枪</w:t>
      </w:r>
      <w:r>
        <w:rPr>
          <w:rFonts w:ascii="仿宋_GB2312" w:hAnsi="仿宋_GB2312" w:cs="仿宋_GB2312"/>
        </w:rPr>
        <w:t>CNG</w:t>
      </w:r>
      <w:r>
        <w:rPr>
          <w:rFonts w:ascii="仿宋_GB2312" w:hAnsi="仿宋_GB2312" w:cs="仿宋_GB2312" w:hint="eastAsia"/>
        </w:rPr>
        <w:t>加气机；充电部分预留</w:t>
      </w:r>
      <w:r>
        <w:rPr>
          <w:rFonts w:ascii="仿宋_GB2312" w:hAnsi="仿宋_GB2312" w:cs="仿宋_GB2312"/>
        </w:rPr>
        <w:t>4</w:t>
      </w:r>
      <w:r>
        <w:rPr>
          <w:rFonts w:ascii="仿宋_GB2312" w:hAnsi="仿宋_GB2312" w:cs="仿宋_GB2312" w:hint="eastAsia"/>
        </w:rPr>
        <w:t>台充电桩。同时配套建设辅助工程、公用工程和环保工程。项目总投资</w:t>
      </w:r>
      <w:r>
        <w:rPr>
          <w:rFonts w:ascii="仿宋_GB2312" w:hAnsi="仿宋_GB2312" w:cs="仿宋_GB2312"/>
        </w:rPr>
        <w:t>7500</w:t>
      </w:r>
      <w:r>
        <w:rPr>
          <w:rFonts w:ascii="仿宋_GB2312" w:hAnsi="仿宋_GB2312" w:cs="仿宋_GB2312" w:hint="eastAsia"/>
        </w:rPr>
        <w:t>万元，其中环保投资</w:t>
      </w:r>
      <w:r>
        <w:rPr>
          <w:rFonts w:ascii="仿宋_GB2312" w:hAnsi="仿宋_GB2312" w:cs="仿宋_GB2312"/>
        </w:rPr>
        <w:t>123</w:t>
      </w:r>
      <w:r>
        <w:rPr>
          <w:rFonts w:ascii="仿宋_GB2312" w:hAnsi="仿宋_GB2312" w:cs="仿宋_GB2312" w:hint="eastAsia"/>
        </w:rPr>
        <w:t>万元，占总投资的</w:t>
      </w:r>
      <w:r>
        <w:rPr>
          <w:rFonts w:ascii="仿宋_GB2312" w:hAnsi="仿宋_GB2312" w:cs="仿宋_GB2312"/>
        </w:rPr>
        <w:t>1.6</w:t>
      </w:r>
      <w:r>
        <w:rPr>
          <w:rFonts w:ascii="仿宋_GB2312" w:hAnsi="仿宋_GB2312" w:cs="仿宋_GB2312" w:hint="eastAsia"/>
        </w:rPr>
        <w:t>％。</w:t>
      </w:r>
    </w:p>
    <w:p w:rsidR="002012C6" w:rsidRDefault="002012C6" w:rsidP="00EF4247">
      <w:pPr>
        <w:adjustRightInd w:val="0"/>
        <w:snapToGrid w:val="0"/>
        <w:spacing w:line="560" w:lineRule="exact"/>
        <w:ind w:firstLineChars="200" w:firstLine="609"/>
        <w:rPr>
          <w:rFonts w:ascii="仿宋_GB2312" w:cs="仿宋_GB2312"/>
        </w:rPr>
      </w:pPr>
      <w:r>
        <w:rPr>
          <w:rFonts w:ascii="仿宋_GB2312" w:hAnsi="仿宋_GB2312" w:cs="仿宋_GB2312" w:hint="eastAsia"/>
        </w:rPr>
        <w:t>二、该项目属于加油、加气站建设项目，我局原则同意报告表的结论。该项目加油工艺流程为：拉油罐车→卸油→埋地油罐贮存→加油机加油→加油车；</w:t>
      </w:r>
      <w:r>
        <w:rPr>
          <w:rFonts w:ascii="仿宋_GB2312" w:hAnsi="仿宋_GB2312" w:cs="仿宋_GB2312"/>
        </w:rPr>
        <w:t>LNG</w:t>
      </w:r>
      <w:r>
        <w:rPr>
          <w:rFonts w:ascii="仿宋_GB2312" w:hAnsi="仿宋_GB2312" w:cs="仿宋_GB2312" w:hint="eastAsia"/>
        </w:rPr>
        <w:t>加气工艺流程为：</w:t>
      </w:r>
      <w:r>
        <w:rPr>
          <w:rFonts w:ascii="仿宋_GB2312" w:hAnsi="仿宋_GB2312" w:cs="仿宋_GB2312"/>
        </w:rPr>
        <w:t>LNG</w:t>
      </w:r>
      <w:r>
        <w:rPr>
          <w:rFonts w:ascii="仿宋_GB2312" w:hAnsi="仿宋_GB2312" w:cs="仿宋_GB2312" w:hint="eastAsia"/>
        </w:rPr>
        <w:t>罐车→</w:t>
      </w:r>
      <w:r>
        <w:rPr>
          <w:rFonts w:ascii="仿宋_GB2312" w:hAnsi="仿宋_GB2312" w:cs="仿宋_GB2312"/>
        </w:rPr>
        <w:t>LNG</w:t>
      </w:r>
      <w:r>
        <w:rPr>
          <w:rFonts w:ascii="仿宋_GB2312" w:hAnsi="仿宋_GB2312" w:cs="仿宋_GB2312" w:hint="eastAsia"/>
        </w:rPr>
        <w:t>烃泵→</w:t>
      </w:r>
      <w:r>
        <w:rPr>
          <w:rFonts w:ascii="仿宋_GB2312" w:hAnsi="仿宋_GB2312" w:cs="仿宋_GB2312"/>
        </w:rPr>
        <w:t>LNG</w:t>
      </w:r>
      <w:r>
        <w:rPr>
          <w:rFonts w:ascii="仿宋_GB2312" w:hAnsi="仿宋_GB2312" w:cs="仿宋_GB2312" w:hint="eastAsia"/>
        </w:rPr>
        <w:t>储罐→</w:t>
      </w:r>
      <w:r>
        <w:rPr>
          <w:rFonts w:ascii="仿宋_GB2312" w:hAnsi="仿宋_GB2312" w:cs="仿宋_GB2312"/>
        </w:rPr>
        <w:t>LNG</w:t>
      </w:r>
      <w:r>
        <w:rPr>
          <w:rFonts w:ascii="仿宋_GB2312" w:hAnsi="仿宋_GB2312" w:cs="仿宋_GB2312" w:hint="eastAsia"/>
        </w:rPr>
        <w:t>烃泵→</w:t>
      </w:r>
      <w:r>
        <w:rPr>
          <w:rFonts w:ascii="仿宋_GB2312" w:hAnsi="仿宋_GB2312" w:cs="仿宋_GB2312"/>
        </w:rPr>
        <w:t>LNG</w:t>
      </w:r>
      <w:r>
        <w:rPr>
          <w:rFonts w:ascii="仿宋_GB2312" w:hAnsi="仿宋_GB2312" w:cs="仿宋_GB2312" w:hint="eastAsia"/>
        </w:rPr>
        <w:t>汽车；</w:t>
      </w:r>
      <w:r>
        <w:rPr>
          <w:rFonts w:ascii="仿宋_GB2312" w:hAnsi="仿宋_GB2312" w:cs="仿宋_GB2312"/>
        </w:rPr>
        <w:t>CNG</w:t>
      </w:r>
      <w:r>
        <w:rPr>
          <w:rFonts w:ascii="仿宋_GB2312" w:hAnsi="仿宋_GB2312" w:cs="仿宋_GB2312" w:hint="eastAsia"/>
        </w:rPr>
        <w:t>加气工艺流程为：管道气→压缩机→储气瓶组→</w:t>
      </w:r>
      <w:r>
        <w:rPr>
          <w:rFonts w:ascii="仿宋_GB2312" w:hAnsi="仿宋_GB2312" w:cs="仿宋_GB2312"/>
        </w:rPr>
        <w:t>CNG</w:t>
      </w:r>
      <w:r>
        <w:rPr>
          <w:rFonts w:ascii="仿宋_GB2312" w:hAnsi="仿宋_GB2312" w:cs="仿宋_GB2312" w:hint="eastAsia"/>
        </w:rPr>
        <w:t>售气机→</w:t>
      </w:r>
      <w:r>
        <w:rPr>
          <w:rFonts w:ascii="仿宋_GB2312" w:hAnsi="仿宋_GB2312" w:cs="仿宋_GB2312"/>
        </w:rPr>
        <w:t>CNG</w:t>
      </w:r>
      <w:r>
        <w:rPr>
          <w:rFonts w:ascii="仿宋_GB2312" w:hAnsi="仿宋_GB2312" w:cs="仿宋_GB2312" w:hint="eastAsia"/>
        </w:rPr>
        <w:t>车载气瓶。我局原则同意报告表的结论。项目经投资主管部门依法审批后，你单位须严格按照报告表所列建设项目的性质、规模、地点、工艺和环境保护对策措施实施项目建设和运营。</w:t>
      </w:r>
    </w:p>
    <w:p w:rsidR="002012C6" w:rsidRDefault="002012C6" w:rsidP="00EF4247">
      <w:pPr>
        <w:adjustRightInd w:val="0"/>
        <w:snapToGrid w:val="0"/>
        <w:spacing w:line="560" w:lineRule="exact"/>
        <w:ind w:firstLineChars="200" w:firstLine="609"/>
        <w:rPr>
          <w:rFonts w:ascii="仿宋_GB2312" w:cs="仿宋_GB2312"/>
        </w:rPr>
      </w:pPr>
      <w:r>
        <w:rPr>
          <w:rFonts w:ascii="仿宋_GB2312" w:hAnsi="仿宋_GB2312" w:cs="仿宋_GB2312" w:hint="eastAsia"/>
        </w:rPr>
        <w:t>三、你单位在项目</w:t>
      </w:r>
      <w:r>
        <w:rPr>
          <w:rFonts w:ascii="仿宋_GB2312" w:hAnsi="仿宋_GB2312" w:cs="仿宋_GB2312" w:hint="eastAsia"/>
          <w:lang/>
        </w:rPr>
        <w:t>建设和</w:t>
      </w:r>
      <w:r>
        <w:rPr>
          <w:rFonts w:ascii="仿宋_GB2312" w:hAnsi="仿宋_GB2312" w:cs="仿宋_GB2312" w:hint="eastAsia"/>
        </w:rPr>
        <w:t>运营中，应严格执行有关环境质量标准和污染物排放标准，认真、全面落实报告表提出的各项环保措施要求，确保污染物达标排放和各环境敏感点满足相应功能要求。重点做好以下工作：</w:t>
      </w:r>
    </w:p>
    <w:p w:rsidR="002012C6" w:rsidRDefault="002012C6" w:rsidP="00EF4247">
      <w:pPr>
        <w:adjustRightInd w:val="0"/>
        <w:snapToGrid w:val="0"/>
        <w:spacing w:line="560" w:lineRule="exact"/>
        <w:ind w:firstLineChars="200" w:firstLine="609"/>
        <w:rPr>
          <w:rFonts w:ascii="仿宋_GB2312" w:cs="仿宋_GB2312"/>
        </w:rPr>
      </w:pPr>
      <w:r>
        <w:rPr>
          <w:rFonts w:ascii="仿宋_GB2312" w:hAnsi="仿宋_GB2312" w:cs="仿宋_GB2312" w:hint="eastAsia"/>
        </w:rPr>
        <w:t>（一）认真落实施工期环境保护措施。做好施工过程中的降噪、防尘措施、施工固废清理和水土保持、防沙治沙等生态保护措施，妥善处置施工废弃物、生活垃圾及生活污水。</w:t>
      </w:r>
    </w:p>
    <w:p w:rsidR="002012C6" w:rsidRDefault="002012C6" w:rsidP="00EF4247">
      <w:pPr>
        <w:adjustRightInd w:val="0"/>
        <w:snapToGrid w:val="0"/>
        <w:spacing w:line="560" w:lineRule="exact"/>
        <w:ind w:firstLineChars="200" w:firstLine="609"/>
        <w:rPr>
          <w:rFonts w:ascii="仿宋_GB2312" w:cs="仿宋_GB2312"/>
        </w:rPr>
      </w:pPr>
      <w:r>
        <w:rPr>
          <w:rFonts w:ascii="仿宋_GB2312" w:hAnsi="仿宋_GB2312" w:cs="仿宋_GB2312" w:hint="eastAsia"/>
        </w:rPr>
        <w:t>（二）严格落实大气污染防治措施。运营期废气主要为加气工序、卸油工序、加油工序、罐区及储气井等逸散有机废气（以非甲烷总烃计）。</w:t>
      </w:r>
      <w:r>
        <w:rPr>
          <w:rFonts w:ascii="仿宋_GB2312"/>
        </w:rPr>
        <w:t>CNG</w:t>
      </w:r>
      <w:r>
        <w:rPr>
          <w:rFonts w:ascii="仿宋_GB2312" w:hint="eastAsia"/>
        </w:rPr>
        <w:t>加气工序产生的废气通过加强加气作业，种植绿化，卸油工序、储油工序、加油工序产生的非甲烷总烃</w:t>
      </w:r>
      <w:r>
        <w:rPr>
          <w:rFonts w:ascii="仿宋_GB2312" w:hAnsi="仿宋_GB2312" w:cs="仿宋_GB2312" w:hint="eastAsia"/>
        </w:rPr>
        <w:t>采用油气回收系统对“大小呼吸”逸散的油气回收处理，汽油、柴油储罐均采用双层罐，设置有储罐渗漏监测系统，进行在线分析及报警，储气井设置可燃气体浓度检测报警装置并采取加强生产管理，定期维护和检查生产设备及管道等措施，确保非甲烷总烃排放浓度满足《加油站大气污染物排放标准》</w:t>
      </w:r>
      <w:r>
        <w:rPr>
          <w:rFonts w:ascii="仿宋_GB2312" w:hAnsi="仿宋_GB2312" w:cs="仿宋_GB2312"/>
        </w:rPr>
        <w:t>(GB 20952-2020)</w:t>
      </w:r>
      <w:r>
        <w:rPr>
          <w:rFonts w:ascii="仿宋_GB2312" w:hAnsi="仿宋_GB2312" w:cs="仿宋_GB2312" w:hint="eastAsia"/>
        </w:rPr>
        <w:t>中表</w:t>
      </w:r>
      <w:r>
        <w:rPr>
          <w:rFonts w:ascii="仿宋_GB2312" w:hAnsi="仿宋_GB2312" w:cs="仿宋_GB2312"/>
        </w:rPr>
        <w:t>3</w:t>
      </w:r>
      <w:r>
        <w:rPr>
          <w:rFonts w:ascii="仿宋_GB2312" w:hAnsi="仿宋_GB2312" w:cs="仿宋_GB2312" w:hint="eastAsia"/>
        </w:rPr>
        <w:t>油气浓度无组织排放限值要求。</w:t>
      </w:r>
    </w:p>
    <w:p w:rsidR="002012C6" w:rsidRDefault="002012C6" w:rsidP="00EF4247">
      <w:pPr>
        <w:adjustRightInd w:val="0"/>
        <w:snapToGrid w:val="0"/>
        <w:spacing w:line="560" w:lineRule="exact"/>
        <w:ind w:firstLineChars="200" w:firstLine="609"/>
      </w:pPr>
      <w:r>
        <w:rPr>
          <w:rFonts w:ascii="仿宋_GB2312" w:hAnsi="仿宋_GB2312" w:cs="仿宋_GB2312" w:hint="eastAsia"/>
        </w:rPr>
        <w:t>（三）严格落实水污染防治措施。项目运营期废水主要为设备清洗废水、地面冲洗废水和生活污水。设备清洗废水及地面冲洗废水经隔油池处理后，接入市政污水管网最终进入园区污水处理厂处理；生活污水经化粪池处理后通过市政污水管网进入园区污水处理厂处理</w:t>
      </w:r>
      <w:r>
        <w:rPr>
          <w:rFonts w:hint="eastAsia"/>
        </w:rPr>
        <w:t>。</w:t>
      </w:r>
    </w:p>
    <w:p w:rsidR="002012C6" w:rsidRDefault="002012C6" w:rsidP="00EF4247">
      <w:pPr>
        <w:pStyle w:val="Default"/>
        <w:adjustRightInd w:val="0"/>
        <w:snapToGrid w:val="0"/>
        <w:spacing w:line="560" w:lineRule="exact"/>
        <w:ind w:firstLineChars="200" w:firstLine="609"/>
        <w:jc w:val="both"/>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（四）严格落实噪声污染防治措施。项目运营期噪声源主要为输油泵、空调、加油机、空压机等设备</w:t>
      </w:r>
      <w:r>
        <w:rPr>
          <w:rFonts w:ascii="仿宋_GB2312" w:eastAsia="仿宋_GB2312" w:hAnsi="仿宋_GB2312" w:cs="仿宋_GB2312" w:hint="eastAsia"/>
          <w:color w:val="auto"/>
          <w:kern w:val="2"/>
          <w:sz w:val="32"/>
          <w:szCs w:val="32"/>
          <w:lang/>
        </w:rPr>
        <w:t>，</w:t>
      </w:r>
      <w:r>
        <w:rPr>
          <w:rFonts w:ascii="仿宋_GB2312" w:eastAsia="仿宋_GB2312" w:hAnsi="仿宋_GB2312" w:cs="仿宋_GB2312" w:hint="eastAsia"/>
          <w:color w:val="auto"/>
          <w:kern w:val="2"/>
          <w:sz w:val="32"/>
          <w:szCs w:val="32"/>
        </w:rPr>
        <w:t>通过对设备设置减振底座，对厂房进行隔声处理，将高噪声设备置于专门密闭房间，定期对设备进行测试、维修、保养，确保厂界四周昼间、夜间噪声值均满足《工业企业厂界环境噪声排放标准》（</w:t>
      </w:r>
      <w:r>
        <w:rPr>
          <w:rFonts w:ascii="仿宋_GB2312" w:eastAsia="仿宋_GB2312" w:hAnsi="仿宋_GB2312" w:cs="仿宋_GB2312"/>
          <w:color w:val="auto"/>
          <w:kern w:val="2"/>
          <w:sz w:val="32"/>
          <w:szCs w:val="32"/>
        </w:rPr>
        <w:t>GB 12348-2008</w:t>
      </w:r>
      <w:r>
        <w:rPr>
          <w:rFonts w:ascii="仿宋_GB2312" w:eastAsia="仿宋_GB2312" w:hAnsi="仿宋_GB2312" w:cs="仿宋_GB2312" w:hint="eastAsia"/>
          <w:color w:val="auto"/>
          <w:kern w:val="2"/>
          <w:sz w:val="32"/>
          <w:szCs w:val="32"/>
        </w:rPr>
        <w:t>）中</w:t>
      </w:r>
      <w:r>
        <w:rPr>
          <w:rFonts w:ascii="仿宋_GB2312" w:eastAsia="仿宋_GB2312" w:hAnsi="仿宋_GB2312" w:cs="仿宋_GB2312"/>
          <w:color w:val="auto"/>
          <w:kern w:val="2"/>
          <w:sz w:val="32"/>
          <w:szCs w:val="32"/>
        </w:rPr>
        <w:t>3</w:t>
      </w:r>
      <w:r>
        <w:rPr>
          <w:rFonts w:ascii="仿宋_GB2312" w:eastAsia="仿宋_GB2312" w:hAnsi="仿宋_GB2312" w:cs="仿宋_GB2312" w:hint="eastAsia"/>
          <w:color w:val="auto"/>
          <w:kern w:val="2"/>
          <w:sz w:val="32"/>
          <w:szCs w:val="32"/>
        </w:rPr>
        <w:t>类标准要求。</w:t>
      </w:r>
    </w:p>
    <w:p w:rsidR="002012C6" w:rsidRDefault="002012C6" w:rsidP="00EF4247">
      <w:pPr>
        <w:adjustRightInd w:val="0"/>
        <w:snapToGrid w:val="0"/>
        <w:spacing w:line="560" w:lineRule="exact"/>
        <w:ind w:firstLineChars="200" w:firstLine="609"/>
        <w:rPr>
          <w:rFonts w:ascii="仿宋_GB2312" w:cs="仿宋_GB2312"/>
        </w:rPr>
      </w:pPr>
      <w:r>
        <w:rPr>
          <w:rFonts w:ascii="仿宋_GB2312" w:hAnsi="仿宋_GB2312" w:cs="仿宋_GB2312" w:hint="eastAsia"/>
        </w:rPr>
        <w:t>（五）严格落实固体废物分类处置措施。该项目产生的固体废物主要为油罐清洗产生的含油废渣、废含油抹布和生活垃圾。其中油罐清洗产生的含油废渣属于危险废物，由</w:t>
      </w:r>
      <w:r>
        <w:rPr>
          <w:rFonts w:ascii="仿宋_GB2312" w:hAnsi="仿宋" w:hint="eastAsia"/>
        </w:rPr>
        <w:t>具备危险废物处置资质的单位</w:t>
      </w:r>
      <w:r>
        <w:rPr>
          <w:rFonts w:ascii="仿宋_GB2312" w:hAnsi="仿宋_GB2312" w:cs="仿宋_GB2312" w:hint="eastAsia"/>
        </w:rPr>
        <w:t>统一收集后</w:t>
      </w:r>
      <w:r>
        <w:rPr>
          <w:rFonts w:ascii="仿宋_GB2312" w:hAnsi="仿宋_GB2312" w:cs="仿宋_GB2312" w:hint="eastAsia"/>
          <w:bCs/>
        </w:rPr>
        <w:t>处置，严禁在项目区存放。生活垃圾与废含油抹布分别收集后交由环卫部门统</w:t>
      </w:r>
      <w:bookmarkStart w:id="0" w:name="_GoBack"/>
      <w:bookmarkEnd w:id="0"/>
      <w:r>
        <w:rPr>
          <w:rFonts w:ascii="仿宋_GB2312" w:hAnsi="仿宋_GB2312" w:cs="仿宋_GB2312" w:hint="eastAsia"/>
          <w:bCs/>
        </w:rPr>
        <w:t>一处置。</w:t>
      </w:r>
    </w:p>
    <w:p w:rsidR="002012C6" w:rsidRDefault="002012C6" w:rsidP="00EF4247">
      <w:pPr>
        <w:adjustRightInd w:val="0"/>
        <w:snapToGrid w:val="0"/>
        <w:spacing w:line="560" w:lineRule="exact"/>
        <w:ind w:firstLineChars="200" w:firstLine="609"/>
        <w:rPr>
          <w:rFonts w:ascii="仿宋_GB2312" w:cs="仿宋_GB2312"/>
        </w:rPr>
      </w:pPr>
      <w:r>
        <w:rPr>
          <w:rFonts w:ascii="仿宋_GB2312" w:hAnsi="仿宋_GB2312" w:cs="仿宋_GB2312" w:hint="eastAsia"/>
        </w:rPr>
        <w:t>（六）该项目运营期加强管理，加强设备运行维护。加强项目环境风险防范。建立严格的环境风险管理制度，认真落实报告表提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2012C6" w:rsidRDefault="002012C6" w:rsidP="00EF4247">
      <w:pPr>
        <w:adjustRightInd w:val="0"/>
        <w:snapToGrid w:val="0"/>
        <w:spacing w:line="560" w:lineRule="exact"/>
        <w:ind w:firstLineChars="200" w:firstLine="609"/>
        <w:rPr>
          <w:rFonts w:ascii="仿宋_GB2312" w:cs="仿宋_GB2312"/>
        </w:rPr>
      </w:pPr>
      <w:r>
        <w:rPr>
          <w:rFonts w:ascii="仿宋_GB2312" w:hAnsi="仿宋_GB2312" w:cs="仿宋_GB2312" w:hint="eastAsia"/>
        </w:rPr>
        <w:t>四、</w:t>
      </w:r>
      <w:r>
        <w:rPr>
          <w:rFonts w:ascii="仿宋_GB2312" w:hint="eastAsia"/>
        </w:rPr>
        <w:t>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ascii="仿宋_GB2312" w:hint="eastAsia"/>
        </w:rPr>
        <w:t>个工作日内在相关网站进行公开，公示期限不得少于</w:t>
      </w:r>
      <w:r>
        <w:rPr>
          <w:rFonts w:ascii="仿宋_GB2312"/>
        </w:rPr>
        <w:t>20</w:t>
      </w:r>
      <w:r>
        <w:rPr>
          <w:rFonts w:ascii="仿宋_GB2312" w:hint="eastAsia"/>
        </w:rPr>
        <w:t>个工作日，并向我局报送相关信息；验收报告公示期满后</w:t>
      </w:r>
      <w:r>
        <w:rPr>
          <w:rFonts w:ascii="仿宋_GB2312"/>
        </w:rPr>
        <w:t>5</w:t>
      </w:r>
      <w:r>
        <w:rPr>
          <w:rFonts w:ascii="仿宋_GB2312" w:hint="eastAsia"/>
        </w:rPr>
        <w:t>个工作日内，建设单位应当登录“全国建设项目竣工环境保护验收信息平台”（网址为</w:t>
      </w:r>
      <w:r>
        <w:rPr>
          <w:rFonts w:ascii="仿宋_GB2312"/>
        </w:rPr>
        <w:t>http://114.251.10.205</w:t>
      </w:r>
      <w:r>
        <w:rPr>
          <w:rFonts w:ascii="仿宋_GB2312" w:hint="eastAsia"/>
        </w:rPr>
        <w:t>），填报建设项目基本信息、环境保护设施验收情况等相关信息</w:t>
      </w:r>
      <w:r>
        <w:rPr>
          <w:rFonts w:ascii="仿宋_GB2312" w:hAnsi="仿宋_GB2312" w:cs="仿宋_GB2312" w:hint="eastAsia"/>
        </w:rPr>
        <w:t>。</w:t>
      </w:r>
    </w:p>
    <w:p w:rsidR="002012C6" w:rsidRDefault="002012C6" w:rsidP="00EF4247">
      <w:pPr>
        <w:adjustRightInd w:val="0"/>
        <w:snapToGrid w:val="0"/>
        <w:spacing w:line="560" w:lineRule="exact"/>
        <w:ind w:firstLineChars="200" w:firstLine="609"/>
      </w:pPr>
      <w:r>
        <w:rPr>
          <w:rFonts w:ascii="仿宋_GB2312" w:hint="eastAsia"/>
        </w:rPr>
        <w:t>五、你单位须严格按照《排污许可证管理暂行规定》要求，在投入生产或使用并产生实际排污行为之前申请领取排污许可证或进行排污登记。</w:t>
      </w:r>
    </w:p>
    <w:p w:rsidR="002012C6" w:rsidRDefault="002012C6" w:rsidP="00EF4247">
      <w:pPr>
        <w:adjustRightInd w:val="0"/>
        <w:snapToGrid w:val="0"/>
        <w:spacing w:line="560" w:lineRule="exact"/>
        <w:ind w:firstLineChars="200" w:firstLine="609"/>
        <w:rPr>
          <w:rFonts w:ascii="仿宋_GB2312"/>
        </w:rPr>
      </w:pPr>
      <w:r>
        <w:rPr>
          <w:rFonts w:ascii="仿宋_GB2312" w:hint="eastAsia"/>
        </w:rPr>
        <w:t>六、根据《中华人民共和国环境影响评价法》等相关环保法律法规的规定，若项目性质、规模、地点、采用的防治污染、防止生态破坏的措施等发生重大变化时，应依法重新报批环评文件。自批准之日起</w:t>
      </w:r>
      <w:r>
        <w:rPr>
          <w:rFonts w:ascii="仿宋_GB2312"/>
        </w:rPr>
        <w:t>5</w:t>
      </w:r>
      <w:r>
        <w:rPr>
          <w:rFonts w:ascii="仿宋_GB2312" w:hint="eastAsia"/>
        </w:rPr>
        <w:t>年内未开工建设的，其环评文件应当报我局重新审核。在项目建设、运行过程中产生不符合经审批的环评文件情形的，应依法重新办理相关环保手续。</w:t>
      </w:r>
    </w:p>
    <w:p w:rsidR="002012C6" w:rsidRDefault="002012C6" w:rsidP="00EF4247">
      <w:pPr>
        <w:adjustRightInd w:val="0"/>
        <w:snapToGrid w:val="0"/>
        <w:spacing w:line="560" w:lineRule="exact"/>
        <w:ind w:firstLineChars="200" w:firstLine="609"/>
        <w:rPr>
          <w:rFonts w:ascii="仿宋_GB2312"/>
          <w:kern w:val="0"/>
        </w:rPr>
      </w:pPr>
      <w:r>
        <w:rPr>
          <w:rFonts w:ascii="仿宋_GB2312" w:hAnsi="仿宋_GB2312" w:cs="仿宋_GB2312" w:hint="eastAsia"/>
        </w:rPr>
        <w:t>七、阿拉尔经济技术开发区按照《关于印发</w:t>
      </w:r>
      <w:r>
        <w:rPr>
          <w:rFonts w:ascii="仿宋_GB2312" w:hAnsi="仿宋_GB2312" w:cs="仿宋_GB2312"/>
        </w:rPr>
        <w:t>&lt;</w:t>
      </w:r>
      <w:r>
        <w:rPr>
          <w:rFonts w:ascii="仿宋_GB2312" w:hAnsi="仿宋_GB2312" w:cs="仿宋_GB2312" w:hint="eastAsia"/>
        </w:rPr>
        <w:t>第一师阿拉尔市生态环境保护工作职责暂行规定（试行）</w:t>
      </w:r>
      <w:r>
        <w:rPr>
          <w:rFonts w:ascii="仿宋_GB2312" w:hAnsi="仿宋_GB2312" w:cs="仿宋_GB2312"/>
        </w:rPr>
        <w:t>&gt;</w:t>
      </w:r>
      <w:r>
        <w:rPr>
          <w:rFonts w:ascii="仿宋_GB2312" w:hAnsi="仿宋_GB2312" w:cs="仿宋_GB2312" w:hint="eastAsia"/>
        </w:rPr>
        <w:t>的通知》（师市环委办发〔</w:t>
      </w:r>
      <w:r>
        <w:rPr>
          <w:rFonts w:ascii="仿宋_GB2312" w:hAnsi="仿宋_GB2312" w:cs="仿宋_GB2312"/>
        </w:rPr>
        <w:t>2020</w:t>
      </w:r>
      <w:r>
        <w:rPr>
          <w:rFonts w:ascii="仿宋_GB2312" w:hAnsi="仿宋_GB2312" w:cs="仿宋_GB2312" w:hint="eastAsia"/>
        </w:rPr>
        <w:t>〕</w:t>
      </w:r>
      <w:r>
        <w:rPr>
          <w:rFonts w:ascii="仿宋_GB2312" w:hAnsi="仿宋_GB2312" w:cs="仿宋_GB2312"/>
        </w:rPr>
        <w:t>1</w:t>
      </w:r>
      <w:r>
        <w:rPr>
          <w:rFonts w:ascii="仿宋_GB2312" w:hAnsi="仿宋_GB2312" w:cs="仿宋_GB2312" w:hint="eastAsia"/>
        </w:rPr>
        <w:t>号）要求，做好该项目环境保护管理工作，师市生态环境保护综合行政执法支队做好该项目的抽查日常监督管理工作</w:t>
      </w:r>
      <w:r>
        <w:rPr>
          <w:rFonts w:ascii="仿宋_GB2312" w:hint="eastAsia"/>
        </w:rPr>
        <w:t>。</w:t>
      </w:r>
    </w:p>
    <w:p w:rsidR="002012C6" w:rsidRDefault="002012C6"/>
    <w:p w:rsidR="002012C6" w:rsidRDefault="002012C6"/>
    <w:p w:rsidR="002012C6" w:rsidRDefault="002012C6" w:rsidP="00EF4247">
      <w:pPr>
        <w:adjustRightInd w:val="0"/>
        <w:snapToGrid w:val="0"/>
        <w:spacing w:line="560" w:lineRule="exact"/>
        <w:ind w:firstLineChars="1657" w:firstLine="5043"/>
        <w:rPr>
          <w:rFonts w:ascii="仿宋_GB2312"/>
          <w:kern w:val="0"/>
        </w:rPr>
      </w:pPr>
      <w:r>
        <w:rPr>
          <w:rFonts w:ascii="仿宋_GB2312" w:cs="仿宋_GB2312" w:hint="eastAsia"/>
          <w:kern w:val="0"/>
        </w:rPr>
        <w:t>第一师阿拉尔市生态环境局</w:t>
      </w:r>
    </w:p>
    <w:p w:rsidR="002012C6" w:rsidRDefault="002012C6">
      <w:r>
        <w:rPr>
          <w:rFonts w:ascii="仿宋_GB2312"/>
          <w:kern w:val="0"/>
        </w:rPr>
        <w:t xml:space="preserve">                                      </w:t>
      </w:r>
      <w:smartTag w:uri="urn:schemas-microsoft-com:office:smarttags" w:element="chsdate">
        <w:smartTagPr>
          <w:attr w:name="IsROCDate" w:val="False"/>
          <w:attr w:name="IsLunarDate" w:val="False"/>
          <w:attr w:name="Day" w:val="18"/>
          <w:attr w:name="Month" w:val="3"/>
          <w:attr w:name="Year" w:val="2022"/>
        </w:smartTagPr>
        <w:r>
          <w:rPr>
            <w:rFonts w:ascii="仿宋_GB2312"/>
            <w:kern w:val="0"/>
          </w:rPr>
          <w:t>2022</w:t>
        </w:r>
        <w:r>
          <w:rPr>
            <w:rFonts w:ascii="仿宋_GB2312" w:hint="eastAsia"/>
            <w:kern w:val="0"/>
          </w:rPr>
          <w:t>年</w:t>
        </w:r>
        <w:r>
          <w:rPr>
            <w:rFonts w:ascii="仿宋_GB2312"/>
            <w:kern w:val="0"/>
          </w:rPr>
          <w:t>3</w:t>
        </w:r>
        <w:r>
          <w:rPr>
            <w:rFonts w:ascii="仿宋_GB2312" w:cs="仿宋_GB2312" w:hint="eastAsia"/>
            <w:kern w:val="0"/>
          </w:rPr>
          <w:t>月</w:t>
        </w:r>
        <w:r>
          <w:rPr>
            <w:rFonts w:ascii="仿宋_GB2312" w:cs="仿宋_GB2312"/>
            <w:kern w:val="0"/>
          </w:rPr>
          <w:t>18</w:t>
        </w:r>
        <w:r>
          <w:rPr>
            <w:rFonts w:ascii="仿宋_GB2312" w:cs="仿宋_GB2312" w:hint="eastAsia"/>
            <w:kern w:val="0"/>
          </w:rPr>
          <w:t>日</w:t>
        </w:r>
      </w:smartTag>
    </w:p>
    <w:p w:rsidR="002012C6" w:rsidRDefault="002012C6" w:rsidP="00EF4247">
      <w:pPr>
        <w:adjustRightInd w:val="0"/>
        <w:snapToGrid w:val="0"/>
        <w:spacing w:line="560" w:lineRule="exact"/>
        <w:ind w:firstLineChars="1351" w:firstLine="4111"/>
        <w:rPr>
          <w:rFonts w:ascii="仿宋_GB2312"/>
          <w:color w:val="FF0000"/>
          <w:kern w:val="0"/>
        </w:rPr>
      </w:pPr>
    </w:p>
    <w:p w:rsidR="002012C6" w:rsidRDefault="002012C6">
      <w:pPr>
        <w:pStyle w:val="BodyTextFirstIndent2"/>
        <w:ind w:left="609" w:firstLineChars="0" w:firstLine="0"/>
        <w:rPr>
          <w:color w:val="0000FF"/>
        </w:rPr>
      </w:pPr>
    </w:p>
    <w:p w:rsidR="002012C6" w:rsidRDefault="002012C6">
      <w:pPr>
        <w:pStyle w:val="BodyTextFirstIndent2"/>
        <w:ind w:left="609" w:firstLineChars="0" w:firstLine="0"/>
        <w:rPr>
          <w:color w:val="0000FF"/>
        </w:rPr>
      </w:pPr>
    </w:p>
    <w:p w:rsidR="002012C6" w:rsidRDefault="002012C6">
      <w:pPr>
        <w:pStyle w:val="BodyTextFirstIndent2"/>
        <w:ind w:left="609" w:firstLineChars="0" w:firstLine="0"/>
        <w:rPr>
          <w:color w:val="0000FF"/>
        </w:rPr>
      </w:pPr>
    </w:p>
    <w:p w:rsidR="002012C6" w:rsidRDefault="002012C6">
      <w:pPr>
        <w:pStyle w:val="BodyTextFirstIndent2"/>
        <w:spacing w:line="24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pStyle w:val="BodyTextFirstIndent2"/>
        <w:spacing w:line="200" w:lineRule="exact"/>
        <w:ind w:leftChars="0" w:left="0" w:firstLineChars="0" w:firstLine="0"/>
      </w:pPr>
    </w:p>
    <w:p w:rsidR="002012C6" w:rsidRDefault="002012C6">
      <w:pPr>
        <w:topLinePunct/>
        <w:adjustRightInd w:val="0"/>
        <w:snapToGrid w:val="0"/>
        <w:spacing w:line="520" w:lineRule="exact"/>
        <w:rPr>
          <w:rFonts w:ascii="仿宋_GB2312" w:cs="仿宋_GB2312"/>
          <w:sz w:val="28"/>
          <w:szCs w:val="28"/>
        </w:rPr>
      </w:pPr>
      <w:r>
        <w:rPr>
          <w:noProof/>
        </w:rPr>
        <w:pict>
          <v:line id="直线 4" o:spid="_x0000_s1028" style="position:absolute;left:0;text-align:left;z-index:251659264" from="-2.3pt,.3pt" to="454.6pt,.3pt" strokeweight="1.5pt"/>
        </w:pict>
      </w:r>
      <w:r>
        <w:rPr>
          <w:rFonts w:ascii="仿宋_GB2312" w:hAnsi="仿宋_GB2312" w:cs="仿宋_GB2312" w:hint="eastAsia"/>
          <w:spacing w:val="-3"/>
          <w:sz w:val="28"/>
          <w:szCs w:val="28"/>
        </w:rPr>
        <w:t>抄送：师市相关领导，发改委、工信局、自然资源和规划局、阿拉尔经济技术开发区、生态环境保护综合行政执法支队，阿克苏律天环保工程有限公司。</w:t>
      </w:r>
    </w:p>
    <w:p w:rsidR="002012C6" w:rsidRDefault="002012C6">
      <w:pPr>
        <w:topLinePunct/>
        <w:adjustRightInd w:val="0"/>
        <w:snapToGrid w:val="0"/>
        <w:spacing w:line="480" w:lineRule="exact"/>
        <w:rPr>
          <w:sz w:val="28"/>
          <w:szCs w:val="28"/>
        </w:rPr>
      </w:pPr>
      <w:r>
        <w:rPr>
          <w:noProof/>
        </w:rPr>
        <w:pict>
          <v:line id="直线 5" o:spid="_x0000_s1029" style="position:absolute;left:0;text-align:left;z-index:251660288" from="-1.5pt,25.05pt" to="455.4pt,25.05pt" strokeweight="1.5pt"/>
        </w:pict>
      </w:r>
      <w:r>
        <w:rPr>
          <w:noProof/>
        </w:rPr>
        <w:pict>
          <v:line id="直线 6" o:spid="_x0000_s1030" style="position:absolute;left:0;text-align:left;z-index:251661312" from="-3.55pt,2.05pt" to="453.35pt,2.05pt"/>
        </w:pict>
      </w:r>
      <w:r>
        <w:rPr>
          <w:rFonts w:hint="eastAsia"/>
          <w:sz w:val="28"/>
          <w:szCs w:val="28"/>
        </w:rPr>
        <w:t>第一师阿拉尔市生态环境局</w:t>
      </w:r>
      <w:r>
        <w:rPr>
          <w:sz w:val="28"/>
          <w:szCs w:val="28"/>
        </w:rPr>
        <w:t xml:space="preserve">                        </w:t>
      </w:r>
      <w:smartTag w:uri="urn:schemas-microsoft-com:office:smarttags" w:element="chsdate">
        <w:smartTagPr>
          <w:attr w:name="IsROCDate" w:val="False"/>
          <w:attr w:name="IsLunarDate" w:val="False"/>
          <w:attr w:name="Day" w:val="18"/>
          <w:attr w:name="Month" w:val="3"/>
          <w:attr w:name="Year" w:val="2022"/>
        </w:smartTagPr>
        <w:r>
          <w:rPr>
            <w:kern w:val="0"/>
            <w:sz w:val="28"/>
            <w:szCs w:val="28"/>
          </w:rPr>
          <w:t>2022</w:t>
        </w:r>
        <w:r>
          <w:rPr>
            <w:rFonts w:hint="eastAsia"/>
            <w:kern w:val="0"/>
            <w:sz w:val="28"/>
            <w:szCs w:val="28"/>
          </w:rPr>
          <w:t>年</w:t>
        </w:r>
        <w:r>
          <w:rPr>
            <w:kern w:val="0"/>
            <w:sz w:val="28"/>
            <w:szCs w:val="28"/>
          </w:rPr>
          <w:t>3</w:t>
        </w:r>
        <w:r>
          <w:rPr>
            <w:rFonts w:hint="eastAsia"/>
            <w:kern w:val="0"/>
            <w:sz w:val="28"/>
            <w:szCs w:val="28"/>
          </w:rPr>
          <w:t>月</w:t>
        </w:r>
        <w:r>
          <w:rPr>
            <w:kern w:val="0"/>
            <w:sz w:val="28"/>
            <w:szCs w:val="28"/>
          </w:rPr>
          <w:t>18</w:t>
        </w:r>
        <w:r>
          <w:rPr>
            <w:rFonts w:hint="eastAsia"/>
            <w:kern w:val="0"/>
            <w:sz w:val="28"/>
            <w:szCs w:val="28"/>
          </w:rPr>
          <w:t>日</w:t>
        </w:r>
      </w:smartTag>
      <w:r>
        <w:rPr>
          <w:rFonts w:hint="eastAsia"/>
          <w:kern w:val="0"/>
          <w:sz w:val="28"/>
          <w:szCs w:val="28"/>
        </w:rPr>
        <w:t>印发</w:t>
      </w:r>
    </w:p>
    <w:sectPr w:rsidR="002012C6" w:rsidSect="00414E01">
      <w:headerReference w:type="default" r:id="rId6"/>
      <w:footerReference w:type="even" r:id="rId7"/>
      <w:footerReference w:type="default" r:id="rId8"/>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2C6" w:rsidRDefault="002012C6" w:rsidP="00414E01">
      <w:r>
        <w:separator/>
      </w:r>
    </w:p>
  </w:endnote>
  <w:endnote w:type="continuationSeparator" w:id="0">
    <w:p w:rsidR="002012C6" w:rsidRDefault="002012C6" w:rsidP="00414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0000000000000000000"/>
    <w:charset w:val="86"/>
    <w:family w:val="modern"/>
    <w:notTrueType/>
    <w:pitch w:val="default"/>
    <w:sig w:usb0="00000001" w:usb1="080E0000" w:usb2="00000010" w:usb3="00000000" w:csb0="00040000"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2C6" w:rsidRDefault="002012C6">
    <w:pPr>
      <w:pStyle w:val="Footer"/>
      <w:ind w:firstLineChars="100" w:firstLine="280"/>
      <w:rPr>
        <w:rFonts w:ascii="仿宋_GB2312"/>
        <w:sz w:val="28"/>
        <w:szCs w:val="28"/>
      </w:rPr>
    </w:pPr>
    <w:r>
      <w:rPr>
        <w:rFonts w:ascii="仿宋_GB2312"/>
        <w:sz w:val="28"/>
        <w:szCs w:val="28"/>
      </w:rPr>
      <w:t>—</w:t>
    </w:r>
    <w:r>
      <w:rPr>
        <w:rFonts w:ascii="仿宋_GB2312"/>
        <w:sz w:val="28"/>
        <w:szCs w:val="28"/>
      </w:rPr>
      <w:t xml:space="preserve"> </w:t>
    </w:r>
    <w:r>
      <w:rPr>
        <w:rStyle w:val="PageNumber"/>
        <w:rFonts w:ascii="仿宋_GB2312"/>
        <w:sz w:val="28"/>
        <w:szCs w:val="28"/>
      </w:rPr>
      <w:fldChar w:fldCharType="begin"/>
    </w:r>
    <w:r>
      <w:rPr>
        <w:rStyle w:val="PageNumber"/>
        <w:rFonts w:ascii="仿宋_GB2312"/>
        <w:sz w:val="28"/>
        <w:szCs w:val="28"/>
      </w:rPr>
      <w:instrText xml:space="preserve"> PAGE </w:instrText>
    </w:r>
    <w:r>
      <w:rPr>
        <w:rStyle w:val="PageNumber"/>
        <w:rFonts w:ascii="仿宋_GB2312"/>
        <w:sz w:val="28"/>
        <w:szCs w:val="28"/>
      </w:rPr>
      <w:fldChar w:fldCharType="separate"/>
    </w:r>
    <w:r>
      <w:rPr>
        <w:rStyle w:val="PageNumber"/>
        <w:rFonts w:ascii="仿宋_GB2312"/>
        <w:sz w:val="28"/>
        <w:szCs w:val="28"/>
      </w:rPr>
      <w:t>4</w:t>
    </w:r>
    <w:r>
      <w:rPr>
        <w:rStyle w:val="PageNumber"/>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2C6" w:rsidRDefault="002012C6">
    <w:pPr>
      <w:pStyle w:val="Footer"/>
      <w:wordWrap w:val="0"/>
      <w:jc w:val="right"/>
      <w:rPr>
        <w:rFonts w:ascii="仿宋_GB2312"/>
        <w:sz w:val="28"/>
        <w:szCs w:val="28"/>
      </w:rPr>
    </w:pPr>
    <w:r>
      <w:rPr>
        <w:noProof/>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0288;mso-wrap-style:none;mso-position-horizontal:outside;mso-position-horizontal-relative:margin" filled="f" stroked="f">
          <v:textbox style="mso-fit-shape-to-text:t" inset="0,0,0,0">
            <w:txbxContent>
              <w:p w:rsidR="002012C6" w:rsidRDefault="002012C6">
                <w:pPr>
                  <w:pStyle w:val="Footer"/>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noProof/>
                    <w:sz w:val="28"/>
                    <w:szCs w:val="28"/>
                  </w:rPr>
                  <w:t>2</w:t>
                </w:r>
                <w:r>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2C6" w:rsidRDefault="002012C6" w:rsidP="00414E01">
      <w:r>
        <w:separator/>
      </w:r>
    </w:p>
  </w:footnote>
  <w:footnote w:type="continuationSeparator" w:id="0">
    <w:p w:rsidR="002012C6" w:rsidRDefault="002012C6" w:rsidP="00414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2C6" w:rsidRDefault="002012C6">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54CD"/>
    <w:rsid w:val="0002100E"/>
    <w:rsid w:val="00025129"/>
    <w:rsid w:val="0003627E"/>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A2A43"/>
    <w:rsid w:val="001C118C"/>
    <w:rsid w:val="001C4019"/>
    <w:rsid w:val="001C6802"/>
    <w:rsid w:val="001C7850"/>
    <w:rsid w:val="001D4454"/>
    <w:rsid w:val="001E3B52"/>
    <w:rsid w:val="002012C6"/>
    <w:rsid w:val="0020163E"/>
    <w:rsid w:val="00217698"/>
    <w:rsid w:val="00221F17"/>
    <w:rsid w:val="00227C51"/>
    <w:rsid w:val="00242BA0"/>
    <w:rsid w:val="00295BA8"/>
    <w:rsid w:val="002A3C15"/>
    <w:rsid w:val="002B19C8"/>
    <w:rsid w:val="002B542D"/>
    <w:rsid w:val="002B6DD0"/>
    <w:rsid w:val="002C547B"/>
    <w:rsid w:val="002D3185"/>
    <w:rsid w:val="002D4273"/>
    <w:rsid w:val="002F3867"/>
    <w:rsid w:val="002F5F6B"/>
    <w:rsid w:val="00301877"/>
    <w:rsid w:val="003023C4"/>
    <w:rsid w:val="00304D0B"/>
    <w:rsid w:val="003111A9"/>
    <w:rsid w:val="00344500"/>
    <w:rsid w:val="0034681B"/>
    <w:rsid w:val="00356217"/>
    <w:rsid w:val="00362623"/>
    <w:rsid w:val="0037214A"/>
    <w:rsid w:val="00381759"/>
    <w:rsid w:val="00387BD7"/>
    <w:rsid w:val="0039331B"/>
    <w:rsid w:val="003A7228"/>
    <w:rsid w:val="003C0176"/>
    <w:rsid w:val="003F3A9F"/>
    <w:rsid w:val="003F3CAB"/>
    <w:rsid w:val="003F5ECF"/>
    <w:rsid w:val="003F754F"/>
    <w:rsid w:val="003F7F32"/>
    <w:rsid w:val="00414269"/>
    <w:rsid w:val="00414E01"/>
    <w:rsid w:val="0042735D"/>
    <w:rsid w:val="00437564"/>
    <w:rsid w:val="00467A46"/>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473C2"/>
    <w:rsid w:val="00870BDC"/>
    <w:rsid w:val="008A0CD9"/>
    <w:rsid w:val="008A3DE4"/>
    <w:rsid w:val="008B3ABC"/>
    <w:rsid w:val="008B4592"/>
    <w:rsid w:val="008B53D6"/>
    <w:rsid w:val="008B5C04"/>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51444"/>
    <w:rsid w:val="00D6121A"/>
    <w:rsid w:val="00D62111"/>
    <w:rsid w:val="00D624A5"/>
    <w:rsid w:val="00D62772"/>
    <w:rsid w:val="00DC2A23"/>
    <w:rsid w:val="00DD7B76"/>
    <w:rsid w:val="00DE4EA5"/>
    <w:rsid w:val="00DF55D1"/>
    <w:rsid w:val="00E16BE8"/>
    <w:rsid w:val="00E205D2"/>
    <w:rsid w:val="00E20F24"/>
    <w:rsid w:val="00E231D6"/>
    <w:rsid w:val="00E36172"/>
    <w:rsid w:val="00E62930"/>
    <w:rsid w:val="00E74521"/>
    <w:rsid w:val="00E9496E"/>
    <w:rsid w:val="00EB462A"/>
    <w:rsid w:val="00EC2B80"/>
    <w:rsid w:val="00EC43F2"/>
    <w:rsid w:val="00EE1372"/>
    <w:rsid w:val="00EE7E1B"/>
    <w:rsid w:val="00EF36B4"/>
    <w:rsid w:val="00EF4247"/>
    <w:rsid w:val="00F2189F"/>
    <w:rsid w:val="00F3491A"/>
    <w:rsid w:val="00F35718"/>
    <w:rsid w:val="00F37233"/>
    <w:rsid w:val="00F47EFE"/>
    <w:rsid w:val="00F64F83"/>
    <w:rsid w:val="00F86B97"/>
    <w:rsid w:val="00FB12D5"/>
    <w:rsid w:val="00FB2EBF"/>
    <w:rsid w:val="00FB3D4F"/>
    <w:rsid w:val="00FC166D"/>
    <w:rsid w:val="00FD02D8"/>
    <w:rsid w:val="00FF1A9F"/>
    <w:rsid w:val="00FF658E"/>
    <w:rsid w:val="00FF75C2"/>
    <w:rsid w:val="01064ED7"/>
    <w:rsid w:val="02B04992"/>
    <w:rsid w:val="034755F0"/>
    <w:rsid w:val="035D241C"/>
    <w:rsid w:val="03D12BCA"/>
    <w:rsid w:val="04F2787B"/>
    <w:rsid w:val="05266A20"/>
    <w:rsid w:val="0541795A"/>
    <w:rsid w:val="05D43962"/>
    <w:rsid w:val="07DE4C7A"/>
    <w:rsid w:val="086949AE"/>
    <w:rsid w:val="08811A5C"/>
    <w:rsid w:val="0976230E"/>
    <w:rsid w:val="0A3D630E"/>
    <w:rsid w:val="0AC72C95"/>
    <w:rsid w:val="0AD425F9"/>
    <w:rsid w:val="0CF458FD"/>
    <w:rsid w:val="0CFE62C8"/>
    <w:rsid w:val="0D027E89"/>
    <w:rsid w:val="0E395175"/>
    <w:rsid w:val="0EF07023"/>
    <w:rsid w:val="106A30F3"/>
    <w:rsid w:val="10CB2738"/>
    <w:rsid w:val="13016401"/>
    <w:rsid w:val="148A5F62"/>
    <w:rsid w:val="14A90434"/>
    <w:rsid w:val="14FD6733"/>
    <w:rsid w:val="173166B8"/>
    <w:rsid w:val="17A92121"/>
    <w:rsid w:val="17D468F4"/>
    <w:rsid w:val="18B86AB2"/>
    <w:rsid w:val="196E264E"/>
    <w:rsid w:val="1AF44BD8"/>
    <w:rsid w:val="1B4A2CAF"/>
    <w:rsid w:val="1CAF43B1"/>
    <w:rsid w:val="1D246E55"/>
    <w:rsid w:val="1D9C2DCA"/>
    <w:rsid w:val="1DA90861"/>
    <w:rsid w:val="1DB85381"/>
    <w:rsid w:val="1E7476C9"/>
    <w:rsid w:val="200E15B3"/>
    <w:rsid w:val="211667CB"/>
    <w:rsid w:val="21530B74"/>
    <w:rsid w:val="218B7640"/>
    <w:rsid w:val="23591758"/>
    <w:rsid w:val="239B50D7"/>
    <w:rsid w:val="24DB4525"/>
    <w:rsid w:val="258973A9"/>
    <w:rsid w:val="2591376E"/>
    <w:rsid w:val="25E6213B"/>
    <w:rsid w:val="263C168D"/>
    <w:rsid w:val="269902DF"/>
    <w:rsid w:val="27265D89"/>
    <w:rsid w:val="275746DD"/>
    <w:rsid w:val="27600519"/>
    <w:rsid w:val="279B1CED"/>
    <w:rsid w:val="295B2467"/>
    <w:rsid w:val="2A364AB6"/>
    <w:rsid w:val="2A811409"/>
    <w:rsid w:val="2AA26EDD"/>
    <w:rsid w:val="2E027CBC"/>
    <w:rsid w:val="30455855"/>
    <w:rsid w:val="3166291A"/>
    <w:rsid w:val="31785F6E"/>
    <w:rsid w:val="31B5299E"/>
    <w:rsid w:val="32741A14"/>
    <w:rsid w:val="32E10D6E"/>
    <w:rsid w:val="338D6A75"/>
    <w:rsid w:val="33E402A7"/>
    <w:rsid w:val="342C2E72"/>
    <w:rsid w:val="35621FD3"/>
    <w:rsid w:val="37621267"/>
    <w:rsid w:val="37D537C3"/>
    <w:rsid w:val="391E7A5F"/>
    <w:rsid w:val="3BC43568"/>
    <w:rsid w:val="3C6D1C18"/>
    <w:rsid w:val="3C985365"/>
    <w:rsid w:val="3F335FA5"/>
    <w:rsid w:val="40ED03F5"/>
    <w:rsid w:val="42F77C98"/>
    <w:rsid w:val="44FC29CD"/>
    <w:rsid w:val="45A75901"/>
    <w:rsid w:val="46022F6A"/>
    <w:rsid w:val="47784399"/>
    <w:rsid w:val="49E071E3"/>
    <w:rsid w:val="4A240FA5"/>
    <w:rsid w:val="4B774B0B"/>
    <w:rsid w:val="4C30095A"/>
    <w:rsid w:val="4C3345A7"/>
    <w:rsid w:val="4D683FE0"/>
    <w:rsid w:val="4E74734C"/>
    <w:rsid w:val="4F797014"/>
    <w:rsid w:val="508D765E"/>
    <w:rsid w:val="538D6631"/>
    <w:rsid w:val="54502155"/>
    <w:rsid w:val="54ED6B2C"/>
    <w:rsid w:val="562C7D95"/>
    <w:rsid w:val="57F047FE"/>
    <w:rsid w:val="58747712"/>
    <w:rsid w:val="594B4499"/>
    <w:rsid w:val="5CD25C98"/>
    <w:rsid w:val="5F9266A4"/>
    <w:rsid w:val="60182BAD"/>
    <w:rsid w:val="6105263C"/>
    <w:rsid w:val="6138315C"/>
    <w:rsid w:val="61AD7D93"/>
    <w:rsid w:val="623E68BF"/>
    <w:rsid w:val="62833D3F"/>
    <w:rsid w:val="6378393C"/>
    <w:rsid w:val="63F123EB"/>
    <w:rsid w:val="643B27E7"/>
    <w:rsid w:val="64AC6C6D"/>
    <w:rsid w:val="64C3605F"/>
    <w:rsid w:val="64EF34AE"/>
    <w:rsid w:val="65281682"/>
    <w:rsid w:val="6764139C"/>
    <w:rsid w:val="67F13AD3"/>
    <w:rsid w:val="690F337D"/>
    <w:rsid w:val="6A5346D7"/>
    <w:rsid w:val="6BC356B8"/>
    <w:rsid w:val="6C4558CD"/>
    <w:rsid w:val="6C6670FC"/>
    <w:rsid w:val="6D3E2631"/>
    <w:rsid w:val="704979B6"/>
    <w:rsid w:val="71313099"/>
    <w:rsid w:val="71536BC6"/>
    <w:rsid w:val="716A0F98"/>
    <w:rsid w:val="7215000D"/>
    <w:rsid w:val="727609EA"/>
    <w:rsid w:val="72FF6643"/>
    <w:rsid w:val="734B05C2"/>
    <w:rsid w:val="7414378F"/>
    <w:rsid w:val="749E6E45"/>
    <w:rsid w:val="74C507FC"/>
    <w:rsid w:val="75421228"/>
    <w:rsid w:val="75963FB7"/>
    <w:rsid w:val="7703566A"/>
    <w:rsid w:val="78165F38"/>
    <w:rsid w:val="7834282C"/>
    <w:rsid w:val="79172FB5"/>
    <w:rsid w:val="794C523A"/>
    <w:rsid w:val="79890041"/>
    <w:rsid w:val="7B46402D"/>
    <w:rsid w:val="7BE9522B"/>
    <w:rsid w:val="7DE1518D"/>
    <w:rsid w:val="7E0E00FB"/>
    <w:rsid w:val="7E24255E"/>
    <w:rsid w:val="7F1B59B5"/>
    <w:rsid w:val="7FEF40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locked="1" w:semiHidden="1" w:unhideWhenUsed="1"/>
    <w:lsdException w:name="annotation text" w:uiPriority="0"/>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uiPriority="0"/>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uiPriority="0"/>
    <w:lsdException w:name="E-mail Signature" w:locked="1" w:semiHidden="1" w:unhideWhenUsed="1"/>
    <w:lsdException w:name="HTML Top of Form" w:uiPriority="0"/>
    <w:lsdException w:name="HTML Bottom of Form" w:uiPriority="0"/>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uiPriority="0"/>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2"/>
    <w:qFormat/>
    <w:rsid w:val="00414E01"/>
    <w:pPr>
      <w:widowControl w:val="0"/>
      <w:jc w:val="both"/>
    </w:pPr>
    <w:rPr>
      <w:rFonts w:eastAsia="仿宋_GB2312"/>
      <w:sz w:val="32"/>
      <w:szCs w:val="32"/>
    </w:rPr>
  </w:style>
  <w:style w:type="paragraph" w:styleId="Heading2">
    <w:name w:val="heading 2"/>
    <w:basedOn w:val="Normal"/>
    <w:next w:val="Normal"/>
    <w:link w:val="Heading2Char"/>
    <w:uiPriority w:val="99"/>
    <w:qFormat/>
    <w:locked/>
    <w:rsid w:val="00414E01"/>
    <w:pPr>
      <w:keepNext/>
      <w:keepLines/>
      <w:spacing w:line="416" w:lineRule="auto"/>
      <w:outlineLvl w:val="1"/>
    </w:pPr>
    <w:rPr>
      <w:rFonts w:ascii="Arial" w:eastAsia="黑体" w:hAnsi="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154F"/>
    <w:rPr>
      <w:rFonts w:asciiTheme="majorHAnsi" w:eastAsiaTheme="majorEastAsia" w:hAnsiTheme="majorHAnsi" w:cstheme="majorBidi"/>
      <w:b/>
      <w:bCs/>
      <w:sz w:val="32"/>
      <w:szCs w:val="32"/>
    </w:rPr>
  </w:style>
  <w:style w:type="paragraph" w:styleId="NormalIndent">
    <w:name w:val="Normal Indent"/>
    <w:basedOn w:val="Normal"/>
    <w:link w:val="NormalIndentChar"/>
    <w:uiPriority w:val="99"/>
    <w:rsid w:val="00414E01"/>
    <w:pPr>
      <w:spacing w:line="520" w:lineRule="exact"/>
      <w:ind w:firstLine="624"/>
    </w:pPr>
    <w:rPr>
      <w:rFonts w:eastAsia="宋体"/>
      <w:sz w:val="28"/>
      <w:szCs w:val="20"/>
    </w:rPr>
  </w:style>
  <w:style w:type="paragraph" w:styleId="CommentText">
    <w:name w:val="annotation text"/>
    <w:basedOn w:val="Normal"/>
    <w:link w:val="CommentTextChar"/>
    <w:uiPriority w:val="99"/>
    <w:semiHidden/>
    <w:locked/>
    <w:rsid w:val="00414E01"/>
    <w:pPr>
      <w:jc w:val="left"/>
    </w:pPr>
    <w:rPr>
      <w:kern w:val="0"/>
      <w:szCs w:val="20"/>
    </w:rPr>
  </w:style>
  <w:style w:type="character" w:customStyle="1" w:styleId="CommentTextChar">
    <w:name w:val="Comment Text Char"/>
    <w:basedOn w:val="DefaultParagraphFont"/>
    <w:link w:val="CommentText"/>
    <w:uiPriority w:val="99"/>
    <w:semiHidden/>
    <w:locked/>
    <w:rsid w:val="00414E01"/>
    <w:rPr>
      <w:rFonts w:eastAsia="仿宋_GB2312" w:cs="Times New Roman"/>
      <w:sz w:val="32"/>
    </w:rPr>
  </w:style>
  <w:style w:type="paragraph" w:styleId="BodyText">
    <w:name w:val="Body Text"/>
    <w:basedOn w:val="Normal"/>
    <w:link w:val="BodyTextChar"/>
    <w:uiPriority w:val="99"/>
    <w:rsid w:val="00414E01"/>
    <w:pPr>
      <w:spacing w:after="120"/>
    </w:pPr>
    <w:rPr>
      <w:kern w:val="0"/>
      <w:szCs w:val="20"/>
    </w:rPr>
  </w:style>
  <w:style w:type="character" w:customStyle="1" w:styleId="BodyTextChar">
    <w:name w:val="Body Text Char"/>
    <w:basedOn w:val="DefaultParagraphFont"/>
    <w:link w:val="BodyText"/>
    <w:uiPriority w:val="99"/>
    <w:semiHidden/>
    <w:locked/>
    <w:rsid w:val="00414E01"/>
    <w:rPr>
      <w:rFonts w:ascii="Times New Roman" w:eastAsia="仿宋_GB2312" w:hAnsi="Times New Roman" w:cs="Times New Roman"/>
      <w:sz w:val="32"/>
    </w:rPr>
  </w:style>
  <w:style w:type="paragraph" w:styleId="BodyTextIndent">
    <w:name w:val="Body Text Indent"/>
    <w:basedOn w:val="Normal"/>
    <w:link w:val="BodyTextIndentChar"/>
    <w:uiPriority w:val="99"/>
    <w:rsid w:val="00414E01"/>
    <w:pPr>
      <w:spacing w:after="120"/>
      <w:ind w:leftChars="200" w:left="420"/>
    </w:pPr>
    <w:rPr>
      <w:szCs w:val="20"/>
    </w:rPr>
  </w:style>
  <w:style w:type="character" w:customStyle="1" w:styleId="BodyTextIndentChar">
    <w:name w:val="Body Text Indent Char"/>
    <w:basedOn w:val="DefaultParagraphFont"/>
    <w:link w:val="BodyTextIndent"/>
    <w:uiPriority w:val="99"/>
    <w:locked/>
    <w:rsid w:val="00414E01"/>
    <w:rPr>
      <w:rFonts w:eastAsia="仿宋_GB2312" w:cs="Times New Roman"/>
      <w:kern w:val="2"/>
      <w:sz w:val="32"/>
    </w:rPr>
  </w:style>
  <w:style w:type="paragraph" w:styleId="PlainText">
    <w:name w:val="Plain Text"/>
    <w:basedOn w:val="Normal"/>
    <w:link w:val="PlainTextChar1"/>
    <w:uiPriority w:val="99"/>
    <w:rsid w:val="00414E01"/>
    <w:rPr>
      <w:rFonts w:ascii="宋体" w:hAnsi="Courier New"/>
      <w:sz w:val="28"/>
      <w:szCs w:val="20"/>
    </w:rPr>
  </w:style>
  <w:style w:type="character" w:customStyle="1" w:styleId="PlainTextChar">
    <w:name w:val="Plain Text Char"/>
    <w:basedOn w:val="DefaultParagraphFont"/>
    <w:link w:val="PlainText"/>
    <w:uiPriority w:val="99"/>
    <w:locked/>
    <w:rsid w:val="00414E01"/>
    <w:rPr>
      <w:rFonts w:ascii="宋体" w:hAnsi="Courier New" w:cs="Times New Roman"/>
      <w:kern w:val="2"/>
      <w:sz w:val="21"/>
    </w:rPr>
  </w:style>
  <w:style w:type="paragraph" w:styleId="BalloonText">
    <w:name w:val="Balloon Text"/>
    <w:basedOn w:val="Normal"/>
    <w:link w:val="BalloonTextChar"/>
    <w:uiPriority w:val="99"/>
    <w:semiHidden/>
    <w:locked/>
    <w:rsid w:val="00414E01"/>
    <w:rPr>
      <w:kern w:val="0"/>
      <w:sz w:val="2"/>
      <w:szCs w:val="20"/>
    </w:rPr>
  </w:style>
  <w:style w:type="character" w:customStyle="1" w:styleId="BalloonTextChar">
    <w:name w:val="Balloon Text Char"/>
    <w:basedOn w:val="DefaultParagraphFont"/>
    <w:link w:val="BalloonText"/>
    <w:uiPriority w:val="99"/>
    <w:semiHidden/>
    <w:locked/>
    <w:rsid w:val="00414E01"/>
    <w:rPr>
      <w:rFonts w:eastAsia="仿宋_GB2312" w:cs="Times New Roman"/>
      <w:sz w:val="2"/>
    </w:rPr>
  </w:style>
  <w:style w:type="paragraph" w:styleId="Footer">
    <w:name w:val="footer"/>
    <w:basedOn w:val="Normal"/>
    <w:link w:val="FooterChar"/>
    <w:uiPriority w:val="99"/>
    <w:rsid w:val="00414E01"/>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414E01"/>
    <w:rPr>
      <w:rFonts w:ascii="Times New Roman" w:eastAsia="仿宋_GB2312" w:hAnsi="Times New Roman" w:cs="Times New Roman"/>
      <w:sz w:val="18"/>
    </w:rPr>
  </w:style>
  <w:style w:type="paragraph" w:styleId="Header">
    <w:name w:val="header"/>
    <w:basedOn w:val="Normal"/>
    <w:link w:val="HeaderChar"/>
    <w:uiPriority w:val="99"/>
    <w:rsid w:val="00414E01"/>
    <w:pPr>
      <w:pBdr>
        <w:bottom w:val="thickThinSmallGap" w:sz="24"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414E01"/>
    <w:rPr>
      <w:rFonts w:ascii="Times New Roman" w:eastAsia="仿宋_GB2312" w:hAnsi="Times New Roman" w:cs="Times New Roman"/>
      <w:sz w:val="18"/>
    </w:rPr>
  </w:style>
  <w:style w:type="paragraph" w:styleId="CommentSubject">
    <w:name w:val="annotation subject"/>
    <w:basedOn w:val="CommentText"/>
    <w:next w:val="CommentText"/>
    <w:link w:val="CommentSubjectChar"/>
    <w:uiPriority w:val="99"/>
    <w:semiHidden/>
    <w:locked/>
    <w:rsid w:val="00414E01"/>
    <w:rPr>
      <w:b/>
    </w:rPr>
  </w:style>
  <w:style w:type="character" w:customStyle="1" w:styleId="CommentSubjectChar">
    <w:name w:val="Comment Subject Char"/>
    <w:basedOn w:val="CommentTextChar"/>
    <w:link w:val="CommentSubject"/>
    <w:uiPriority w:val="99"/>
    <w:semiHidden/>
    <w:locked/>
    <w:rsid w:val="00414E01"/>
    <w:rPr>
      <w:b/>
    </w:rPr>
  </w:style>
  <w:style w:type="paragraph" w:styleId="BodyTextFirstIndent2">
    <w:name w:val="Body Text First Indent 2"/>
    <w:basedOn w:val="BodyTextIndent"/>
    <w:link w:val="BodyTextFirstIndent2Char"/>
    <w:uiPriority w:val="99"/>
    <w:locked/>
    <w:rsid w:val="00414E01"/>
    <w:pPr>
      <w:ind w:firstLineChars="200" w:firstLine="420"/>
    </w:pPr>
  </w:style>
  <w:style w:type="character" w:customStyle="1" w:styleId="BodyTextFirstIndent2Char">
    <w:name w:val="Body Text First Indent 2 Char"/>
    <w:basedOn w:val="BodyTextIndentChar"/>
    <w:link w:val="BodyTextFirstIndent2"/>
    <w:uiPriority w:val="99"/>
    <w:semiHidden/>
    <w:locked/>
    <w:rsid w:val="00414E01"/>
  </w:style>
  <w:style w:type="character" w:styleId="PageNumber">
    <w:name w:val="page number"/>
    <w:basedOn w:val="DefaultParagraphFont"/>
    <w:uiPriority w:val="99"/>
    <w:rsid w:val="00414E01"/>
    <w:rPr>
      <w:rFonts w:cs="Times New Roman"/>
    </w:rPr>
  </w:style>
  <w:style w:type="character" w:styleId="CommentReference">
    <w:name w:val="annotation reference"/>
    <w:basedOn w:val="DefaultParagraphFont"/>
    <w:uiPriority w:val="99"/>
    <w:rsid w:val="00414E01"/>
    <w:rPr>
      <w:rFonts w:cs="Times New Roman"/>
      <w:sz w:val="21"/>
    </w:rPr>
  </w:style>
  <w:style w:type="paragraph" w:customStyle="1" w:styleId="Default">
    <w:name w:val="Default"/>
    <w:basedOn w:val="Normal"/>
    <w:next w:val="Normal"/>
    <w:uiPriority w:val="99"/>
    <w:rsid w:val="00414E01"/>
    <w:pPr>
      <w:autoSpaceDE w:val="0"/>
      <w:autoSpaceDN w:val="0"/>
      <w:jc w:val="left"/>
    </w:pPr>
    <w:rPr>
      <w:rFonts w:ascii="宋体" w:eastAsia="宋体"/>
      <w:color w:val="000000"/>
      <w:kern w:val="0"/>
      <w:sz w:val="24"/>
      <w:szCs w:val="24"/>
    </w:rPr>
  </w:style>
  <w:style w:type="paragraph" w:customStyle="1" w:styleId="a">
    <w:name w:val="表内文字"/>
    <w:basedOn w:val="Normal"/>
    <w:uiPriority w:val="99"/>
    <w:rsid w:val="00414E01"/>
    <w:pPr>
      <w:widowControl/>
      <w:adjustRightInd w:val="0"/>
      <w:snapToGrid w:val="0"/>
      <w:spacing w:line="240" w:lineRule="atLeast"/>
      <w:jc w:val="center"/>
    </w:pPr>
    <w:rPr>
      <w:rFonts w:eastAsia="宋体"/>
      <w:kern w:val="0"/>
      <w:sz w:val="21"/>
      <w:szCs w:val="20"/>
    </w:rPr>
  </w:style>
  <w:style w:type="paragraph" w:customStyle="1" w:styleId="9">
    <w:name w:val="9"/>
    <w:basedOn w:val="Normal"/>
    <w:uiPriority w:val="99"/>
    <w:rsid w:val="00414E01"/>
    <w:pPr>
      <w:spacing w:line="460" w:lineRule="exact"/>
      <w:ind w:firstLineChars="200" w:firstLine="480"/>
    </w:pPr>
    <w:rPr>
      <w:rFonts w:ascii="宋体" w:eastAsia="宋体" w:hAnsi="宋体"/>
      <w:bCs/>
      <w:sz w:val="24"/>
      <w:szCs w:val="24"/>
    </w:rPr>
  </w:style>
  <w:style w:type="character" w:customStyle="1" w:styleId="PlainTextChar1">
    <w:name w:val="Plain Text Char1"/>
    <w:link w:val="PlainText"/>
    <w:uiPriority w:val="99"/>
    <w:locked/>
    <w:rsid w:val="00414E01"/>
    <w:rPr>
      <w:rFonts w:ascii="宋体" w:eastAsia="仿宋_GB2312" w:hAnsi="Courier New"/>
      <w:kern w:val="2"/>
      <w:sz w:val="28"/>
    </w:rPr>
  </w:style>
  <w:style w:type="paragraph" w:customStyle="1" w:styleId="a0">
    <w:name w:val="正文格式"/>
    <w:link w:val="CharChar"/>
    <w:uiPriority w:val="99"/>
    <w:rsid w:val="00414E01"/>
    <w:pPr>
      <w:spacing w:line="360" w:lineRule="auto"/>
      <w:ind w:firstLineChars="200" w:firstLine="200"/>
    </w:pPr>
    <w:rPr>
      <w:rFonts w:ascii="宋体"/>
      <w:color w:val="000000"/>
      <w:w w:val="110"/>
      <w:kern w:val="0"/>
      <w:sz w:val="22"/>
      <w:szCs w:val="20"/>
    </w:rPr>
  </w:style>
  <w:style w:type="character" w:customStyle="1" w:styleId="CharChar">
    <w:name w:val="正文格式 Char Char"/>
    <w:link w:val="a0"/>
    <w:uiPriority w:val="99"/>
    <w:locked/>
    <w:rsid w:val="00414E01"/>
    <w:rPr>
      <w:rFonts w:ascii="宋体"/>
      <w:color w:val="000000"/>
      <w:w w:val="110"/>
      <w:sz w:val="22"/>
    </w:rPr>
  </w:style>
  <w:style w:type="character" w:customStyle="1" w:styleId="NormalIndentChar">
    <w:name w:val="Normal Indent Char"/>
    <w:link w:val="NormalIndent"/>
    <w:uiPriority w:val="99"/>
    <w:locked/>
    <w:rsid w:val="00414E01"/>
    <w:rPr>
      <w:kern w:val="2"/>
      <w:sz w:val="28"/>
    </w:rPr>
  </w:style>
  <w:style w:type="paragraph" w:customStyle="1" w:styleId="a1">
    <w:name w:val="表格内"/>
    <w:basedOn w:val="Normal"/>
    <w:uiPriority w:val="99"/>
    <w:rsid w:val="00414E01"/>
    <w:pPr>
      <w:adjustRightInd w:val="0"/>
      <w:spacing w:line="240" w:lineRule="atLeast"/>
      <w:jc w:val="center"/>
      <w:textAlignment w:val="baseline"/>
    </w:pPr>
    <w:rPr>
      <w:rFonts w:ascii="宋体"/>
      <w:kern w:val="0"/>
      <w:sz w:val="28"/>
      <w:szCs w:val="20"/>
    </w:rPr>
  </w:style>
  <w:style w:type="character" w:customStyle="1" w:styleId="15">
    <w:name w:val="15"/>
    <w:uiPriority w:val="99"/>
    <w:rsid w:val="00414E01"/>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380</Words>
  <Characters>2171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44</cp:revision>
  <cp:lastPrinted>2021-09-16T03:24:00Z</cp:lastPrinted>
  <dcterms:created xsi:type="dcterms:W3CDTF">2021-07-27T09:46:00Z</dcterms:created>
  <dcterms:modified xsi:type="dcterms:W3CDTF">2022-03-22T09:00:00Z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93DCA043C6DC464C9B8ABCEB4BCADAC3</vt:lpwstr>
  </property>
</Properties>
</file>