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DBF" w:rsidRDefault="00902DBF">
      <w:pPr>
        <w:spacing w:line="264" w:lineRule="auto"/>
        <w:rPr>
          <w:color w:val="0000FF"/>
          <w:sz w:val="36"/>
        </w:rPr>
      </w:pPr>
    </w:p>
    <w:p w:rsidR="00902DBF" w:rsidRDefault="00902DBF">
      <w:pPr>
        <w:pStyle w:val="Default"/>
        <w:rPr>
          <w:color w:val="0000FF"/>
          <w:sz w:val="28"/>
        </w:rPr>
      </w:pPr>
    </w:p>
    <w:p w:rsidR="00902DBF" w:rsidRDefault="00902DBF">
      <w:pPr>
        <w:pStyle w:val="Default"/>
        <w:spacing w:line="264" w:lineRule="auto"/>
        <w:rPr>
          <w:color w:val="0000FF"/>
          <w:sz w:val="28"/>
        </w:rPr>
      </w:pPr>
    </w:p>
    <w:p w:rsidR="00902DBF" w:rsidRDefault="00902DBF">
      <w:pPr>
        <w:pStyle w:val="Default"/>
        <w:spacing w:line="264" w:lineRule="auto"/>
        <w:rPr>
          <w:color w:val="0000FF"/>
          <w:sz w:val="48"/>
          <w:szCs w:val="44"/>
        </w:rPr>
      </w:pPr>
    </w:p>
    <w:p w:rsidR="00902DBF" w:rsidRDefault="00902DBF"/>
    <w:p w:rsidR="00902DBF" w:rsidRDefault="00902DBF">
      <w:pPr>
        <w:spacing w:line="560" w:lineRule="exact"/>
        <w:rPr>
          <w:color w:val="0000FF"/>
          <w:sz w:val="52"/>
        </w:rPr>
      </w:pPr>
      <w:r w:rsidRPr="00902DBF">
        <w:rPr>
          <w:color w:val="0000FF"/>
        </w:rPr>
        <w:pict>
          <v:shapetype id="_x0000_t202" coordsize="21600,21600" o:spt="202" path="m,l,21600r21600,l21600,xe">
            <v:stroke joinstyle="miter"/>
            <v:path gradientshapeok="t" o:connecttype="rect"/>
          </v:shapetype>
          <v:shape id="文本框 3" o:spid="_x0000_s1026" type="#_x0000_t202" style="position:absolute;left:0;text-align:left;margin-left:99pt;margin-top:16.75pt;width:232.2pt;height:39.5pt;z-index:251659264" o:gfxdata="UEsDBAoAAAAAAIdO4kAAAAAAAAAAAAAAAAAEAAAAZHJzL1BLAwQUAAAACACHTuJASIq/ntgAAAAK&#10;AQAADwAAAGRycy9kb3ducmV2LnhtbE2PwU7DMBBE70j8g7VIXFBrJ6VRG+JUqAJxbuHCzY23SUS8&#10;TmK3afl6lhMcRzOaeVNsLq4TZxxD60lDMlcgkCpvW6o1fLy/zlYgQjRkTecJNVwxwKa8vSlMbv1E&#10;OzzvYy24hEJuNDQx9rmUoWrQmTD3PRJ7Rz86E1mOtbSjmbjcdTJVKpPOtMQLjelx22D1tT85DX56&#10;uTqPg0ofPr/d2/Z52B3TQev7u0Q9gYh4iX9h+MVndCiZ6eBPZIPoWK9X/CVqWCyWIDiQZekjiAM7&#10;SboEWRby/4XyB1BLAwQUAAAACACHTuJAzpLCyQ4CAABEBAAADgAAAGRycy9lMm9Eb2MueG1srVPN&#10;jtMwEL4j8Q6W7zRt2a62UdOVoJQLAqSFB3CdSWLJf/K4TfoC8AacuHDnufY5duyUsrtceiAHZ+wZ&#10;fzPfN+PV7WA0O0BA5WzFZ5MpZ2Clq5VtK/71y/bVDWcYha2FdhYqfgTkt+uXL1a9L2HuOqdrCIxA&#10;LJa9r3gXoy+LAmUHRuDEebDkbFwwItI2tEUdRE/oRhfz6fS66F2ofXASEOl0Mzr5CTFcAuiaRknY&#10;OLk3YOOIGkCLSJSwUx75OlfbNCDjp6ZBiExXnJjGvFISsndpLdYrUbZB+E7JUwnikhKecTJCWUp6&#10;htqIKNg+qH+gjJLBoWviRDpTjESyIsRiNn2mzV0nPGQuJDX6s+j4/2Dlx8PnwFRNk8CZFYYafv/j&#10;+/3P3/e/vrHXSZ7eY0lRd57i4vDGDSn0dI50mFgPTTDpT3wY+Unc41lcGCKTdDhfXt0sr8glybeY&#10;zq4XWf3i720fML4HZ1gyKh6oeVlTcfiAkTJS6J+QlAydVvVWaZ03od291YEdBDV6m79UJF15EqYt&#10;6yu+XMwXVIeg6W1oasg0nhRA2+Z8T27gZcCpsI3AbiwgI4yzZVSEQJWIsgNRv7M1i0dPKlt6XDwV&#10;Y6DmTAO9xWTlyCiUviSS2GmboCFP+kml1LCxMcmKw24g0GTuXH2kJu59UG1HAuc2FslDw5W1Oj2E&#10;NL2P92Q/fvzr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iKv57YAAAACgEAAA8AAAAAAAAAAQAg&#10;AAAAIgAAAGRycy9kb3ducmV2LnhtbFBLAQIUABQAAAAIAIdO4kDOksLJDgIAAEQEAAAOAAAAAAAA&#10;AAEAIAAAACcBAABkcnMvZTJvRG9jLnhtbFBLBQYAAAAABgAGAFkBAACnBQAAAAA=&#10;" strokecolor="white">
            <v:textbox>
              <w:txbxContent>
                <w:p w:rsidR="00902DBF" w:rsidRDefault="00EF16B5">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rPr>
                      <w:rFonts w:hint="eastAsia"/>
                    </w:rPr>
                    <w:t>202</w:t>
                  </w:r>
                  <w:r>
                    <w:rPr>
                      <w:rFonts w:hint="eastAsia"/>
                    </w:rPr>
                    <w:t>2</w:t>
                  </w:r>
                  <w:r>
                    <w:rPr>
                      <w:rFonts w:hint="eastAsia"/>
                    </w:rPr>
                    <w:t>〕</w:t>
                  </w:r>
                  <w:r w:rsidR="009858DD">
                    <w:rPr>
                      <w:rFonts w:hint="eastAsia"/>
                    </w:rPr>
                    <w:t>11</w:t>
                  </w:r>
                  <w:r>
                    <w:rPr>
                      <w:rFonts w:hint="eastAsia"/>
                    </w:rPr>
                    <w:t>号</w:t>
                  </w:r>
                </w:p>
              </w:txbxContent>
            </v:textbox>
          </v:shape>
        </w:pict>
      </w:r>
    </w:p>
    <w:p w:rsidR="00902DBF" w:rsidRDefault="00902DBF">
      <w:pPr>
        <w:pStyle w:val="Default"/>
        <w:rPr>
          <w:color w:val="auto"/>
        </w:rPr>
      </w:pPr>
    </w:p>
    <w:p w:rsidR="009858DD" w:rsidRDefault="00EF16B5">
      <w:pPr>
        <w:spacing w:line="640" w:lineRule="exact"/>
        <w:jc w:val="center"/>
        <w:rPr>
          <w:rFonts w:eastAsia="方正小标宋简体" w:hint="eastAsia"/>
          <w:w w:val="95"/>
          <w:sz w:val="44"/>
          <w:szCs w:val="44"/>
        </w:rPr>
      </w:pPr>
      <w:r>
        <w:rPr>
          <w:rFonts w:eastAsia="方正小标宋简体"/>
          <w:w w:val="95"/>
          <w:sz w:val="44"/>
          <w:szCs w:val="44"/>
        </w:rPr>
        <w:t>关于</w:t>
      </w:r>
      <w:r>
        <w:rPr>
          <w:rFonts w:eastAsia="方正小标宋简体" w:hint="eastAsia"/>
          <w:w w:val="95"/>
          <w:sz w:val="44"/>
          <w:szCs w:val="44"/>
        </w:rPr>
        <w:t>第一师三团集中供热中心建设项目</w:t>
      </w:r>
    </w:p>
    <w:p w:rsidR="00902DBF" w:rsidRDefault="00EF16B5" w:rsidP="009858DD">
      <w:pPr>
        <w:spacing w:line="640" w:lineRule="exact"/>
        <w:jc w:val="center"/>
        <w:rPr>
          <w:rFonts w:eastAsia="方正小标宋简体"/>
          <w:w w:val="95"/>
          <w:sz w:val="44"/>
          <w:szCs w:val="44"/>
        </w:rPr>
      </w:pPr>
      <w:r>
        <w:rPr>
          <w:rFonts w:eastAsia="方正小标宋简体" w:hint="eastAsia"/>
          <w:w w:val="95"/>
          <w:sz w:val="44"/>
          <w:szCs w:val="44"/>
        </w:rPr>
        <w:t>环境影响</w:t>
      </w:r>
      <w:r>
        <w:rPr>
          <w:rFonts w:eastAsia="方正小标宋简体" w:hint="eastAsia"/>
          <w:w w:val="95"/>
          <w:sz w:val="44"/>
          <w:szCs w:val="44"/>
        </w:rPr>
        <w:t>报告</w:t>
      </w:r>
      <w:r>
        <w:rPr>
          <w:rFonts w:eastAsia="方正小标宋简体" w:hint="eastAsia"/>
          <w:w w:val="95"/>
          <w:sz w:val="44"/>
          <w:szCs w:val="44"/>
          <w:lang w:val="zh-CN"/>
        </w:rPr>
        <w:t>表</w:t>
      </w:r>
      <w:r>
        <w:rPr>
          <w:rFonts w:eastAsia="方正小标宋简体"/>
          <w:w w:val="95"/>
          <w:sz w:val="44"/>
          <w:szCs w:val="44"/>
        </w:rPr>
        <w:t>的批复</w:t>
      </w:r>
    </w:p>
    <w:p w:rsidR="00902DBF" w:rsidRDefault="00902DBF">
      <w:pPr>
        <w:adjustRightInd w:val="0"/>
        <w:snapToGrid w:val="0"/>
        <w:spacing w:line="540" w:lineRule="exact"/>
      </w:pPr>
    </w:p>
    <w:p w:rsidR="00902DBF" w:rsidRDefault="00EF16B5" w:rsidP="005B664B">
      <w:pPr>
        <w:adjustRightInd w:val="0"/>
        <w:snapToGrid w:val="0"/>
        <w:spacing w:line="560" w:lineRule="exact"/>
        <w:rPr>
          <w:rFonts w:ascii="仿宋_GB2312" w:hAnsi="仿宋_GB2312" w:cs="仿宋_GB2312"/>
        </w:rPr>
      </w:pPr>
      <w:r>
        <w:rPr>
          <w:rFonts w:ascii="仿宋_GB2312" w:hAnsi="仿宋_GB2312" w:cs="仿宋_GB2312" w:hint="eastAsia"/>
        </w:rPr>
        <w:t>三</w:t>
      </w:r>
      <w:r>
        <w:rPr>
          <w:rFonts w:ascii="仿宋_GB2312" w:hAnsi="仿宋_GB2312" w:cs="仿宋_GB2312" w:hint="eastAsia"/>
        </w:rPr>
        <w:t>团城镇管理服务中心：</w:t>
      </w:r>
    </w:p>
    <w:p w:rsidR="00902DBF" w:rsidRDefault="00EF16B5" w:rsidP="005B664B">
      <w:pPr>
        <w:adjustRightInd w:val="0"/>
        <w:snapToGrid w:val="0"/>
        <w:spacing w:line="560" w:lineRule="exact"/>
        <w:ind w:firstLineChars="200" w:firstLine="609"/>
        <w:rPr>
          <w:rFonts w:ascii="仿宋_GB2312" w:hAnsi="仿宋_GB2312" w:cs="仿宋_GB2312"/>
        </w:rPr>
      </w:pPr>
      <w:r>
        <w:rPr>
          <w:rFonts w:ascii="仿宋_GB2312" w:hAnsi="仿宋_GB2312" w:cs="仿宋_GB2312" w:hint="eastAsia"/>
        </w:rPr>
        <w:t>你单位报送的《关于送审</w:t>
      </w:r>
      <w:r>
        <w:rPr>
          <w:rFonts w:ascii="仿宋_GB2312" w:hAnsi="仿宋" w:hint="eastAsia"/>
          <w:color w:val="000000"/>
        </w:rPr>
        <w:t>第一师三团集中供热中心建设项目环境影响报告表</w:t>
      </w:r>
      <w:r>
        <w:rPr>
          <w:rFonts w:ascii="仿宋_GB2312" w:hAnsi="仿宋_GB2312" w:cs="仿宋_GB2312" w:hint="eastAsia"/>
        </w:rPr>
        <w:t>的请示》及《</w:t>
      </w:r>
      <w:r>
        <w:rPr>
          <w:rFonts w:ascii="仿宋_GB2312" w:hAnsi="仿宋" w:hint="eastAsia"/>
          <w:color w:val="000000"/>
        </w:rPr>
        <w:t>第一师三团集中供热中心建设项目环境影响报告表</w:t>
      </w:r>
      <w:r>
        <w:rPr>
          <w:rFonts w:ascii="仿宋_GB2312" w:hAnsi="仿宋_GB2312" w:cs="仿宋_GB2312" w:hint="eastAsia"/>
        </w:rPr>
        <w:t>》（以下简称</w:t>
      </w:r>
      <w:r>
        <w:rPr>
          <w:rFonts w:ascii="仿宋_GB2312" w:hAnsi="仿宋_GB2312" w:cs="仿宋_GB2312" w:hint="eastAsia"/>
        </w:rPr>
        <w:t>“</w:t>
      </w:r>
      <w:r>
        <w:rPr>
          <w:rFonts w:ascii="仿宋_GB2312" w:hAnsi="仿宋_GB2312" w:cs="仿宋_GB2312" w:hint="eastAsia"/>
        </w:rPr>
        <w:t>报告表</w:t>
      </w:r>
      <w:r>
        <w:rPr>
          <w:rFonts w:ascii="仿宋_GB2312" w:hAnsi="仿宋_GB2312" w:cs="仿宋_GB2312" w:hint="eastAsia"/>
        </w:rPr>
        <w:t>”</w:t>
      </w:r>
      <w:r>
        <w:rPr>
          <w:rFonts w:ascii="仿宋_GB2312" w:hAnsi="仿宋_GB2312" w:cs="仿宋_GB2312" w:hint="eastAsia"/>
        </w:rPr>
        <w:t>）收悉。经专家审查和研究，现批复如下</w:t>
      </w:r>
      <w:r>
        <w:rPr>
          <w:rFonts w:ascii="仿宋_GB2312" w:hAnsi="仿宋_GB2312" w:cs="仿宋_GB2312" w:hint="eastAsia"/>
        </w:rPr>
        <w:t>：</w:t>
      </w:r>
    </w:p>
    <w:p w:rsidR="00902DBF" w:rsidRDefault="00EF16B5" w:rsidP="005B664B">
      <w:pPr>
        <w:numPr>
          <w:ilvl w:val="0"/>
          <w:numId w:val="1"/>
        </w:numPr>
        <w:adjustRightInd w:val="0"/>
        <w:snapToGrid w:val="0"/>
        <w:spacing w:line="560" w:lineRule="exact"/>
        <w:ind w:firstLine="609"/>
        <w:rPr>
          <w:rFonts w:ascii="仿宋_GB2312" w:hAnsi="仿宋_GB2312" w:cs="仿宋_GB2312"/>
        </w:rPr>
      </w:pPr>
      <w:r>
        <w:rPr>
          <w:rFonts w:ascii="仿宋_GB2312" w:hAnsi="仿宋_GB2312" w:cs="仿宋_GB2312" w:hint="eastAsia"/>
        </w:rPr>
        <w:t>该项目位于</w:t>
      </w:r>
      <w:r>
        <w:rPr>
          <w:rFonts w:ascii="仿宋_GB2312" w:hAnsi="仿宋_GB2312" w:cs="仿宋_GB2312" w:hint="eastAsia"/>
        </w:rPr>
        <w:t>三</w:t>
      </w:r>
      <w:r>
        <w:rPr>
          <w:rFonts w:ascii="仿宋_GB2312" w:hAnsi="仿宋_GB2312" w:cs="仿宋_GB2312" w:hint="eastAsia"/>
        </w:rPr>
        <w:t>团</w:t>
      </w:r>
      <w:r>
        <w:rPr>
          <w:rFonts w:ascii="仿宋_GB2312" w:hAnsi="仿宋_GB2312" w:cs="仿宋_GB2312" w:hint="eastAsia"/>
        </w:rPr>
        <w:t>，</w:t>
      </w:r>
      <w:r>
        <w:rPr>
          <w:rFonts w:ascii="仿宋_GB2312" w:hAnsi="仿宋" w:hint="eastAsia"/>
        </w:rPr>
        <w:t>厂区南侧为</w:t>
      </w:r>
      <w:r>
        <w:rPr>
          <w:rFonts w:ascii="仿宋_GB2312" w:hAnsi="仿宋" w:hint="eastAsia"/>
        </w:rPr>
        <w:t>废弃厂房，</w:t>
      </w:r>
      <w:r>
        <w:rPr>
          <w:rFonts w:ascii="仿宋_GB2312" w:hAnsi="仿宋" w:hint="eastAsia"/>
        </w:rPr>
        <w:t>东侧、西侧</w:t>
      </w:r>
      <w:r>
        <w:rPr>
          <w:rFonts w:ascii="仿宋_GB2312" w:hAnsi="仿宋" w:hint="eastAsia"/>
        </w:rPr>
        <w:t>、</w:t>
      </w:r>
      <w:r>
        <w:rPr>
          <w:rFonts w:ascii="仿宋_GB2312" w:hAnsi="仿宋" w:hint="eastAsia"/>
        </w:rPr>
        <w:t>北侧</w:t>
      </w:r>
      <w:r>
        <w:rPr>
          <w:rFonts w:ascii="仿宋_GB2312" w:hAnsi="仿宋" w:hint="eastAsia"/>
        </w:rPr>
        <w:t>均</w:t>
      </w:r>
      <w:r>
        <w:rPr>
          <w:rFonts w:ascii="仿宋_GB2312" w:hAnsi="仿宋" w:hint="eastAsia"/>
        </w:rPr>
        <w:t>为</w:t>
      </w:r>
      <w:r>
        <w:rPr>
          <w:rFonts w:ascii="仿宋_GB2312" w:hAnsi="仿宋" w:hint="eastAsia"/>
        </w:rPr>
        <w:t>空地</w:t>
      </w:r>
      <w:r>
        <w:rPr>
          <w:rFonts w:ascii="仿宋_GB2312" w:hAnsi="仿宋" w:hint="eastAsia"/>
        </w:rPr>
        <w:t>。</w:t>
      </w:r>
      <w:r>
        <w:rPr>
          <w:rFonts w:ascii="仿宋_GB2312" w:hAnsi="仿宋" w:hint="eastAsia"/>
        </w:rPr>
        <w:t>项目中心地理位置坐标为：东经</w:t>
      </w:r>
      <w:r>
        <w:rPr>
          <w:rFonts w:ascii="仿宋_GB2312" w:hAnsi="仿宋" w:hint="eastAsia"/>
        </w:rPr>
        <w:t>80</w:t>
      </w:r>
      <w:r>
        <w:rPr>
          <w:rFonts w:ascii="仿宋_GB2312" w:hAnsi="仿宋" w:hint="eastAsia"/>
        </w:rPr>
        <w:t>°</w:t>
      </w:r>
      <w:r>
        <w:rPr>
          <w:rFonts w:ascii="仿宋_GB2312" w:hAnsi="仿宋" w:hint="eastAsia"/>
        </w:rPr>
        <w:t>3</w:t>
      </w:r>
      <w:r>
        <w:rPr>
          <w:rFonts w:ascii="仿宋_GB2312" w:hAnsi="仿宋" w:hint="eastAsia"/>
        </w:rPr>
        <w:t>′</w:t>
      </w:r>
      <w:r>
        <w:rPr>
          <w:rFonts w:ascii="仿宋_GB2312" w:hAnsi="仿宋" w:hint="eastAsia"/>
        </w:rPr>
        <w:t>15.596</w:t>
      </w:r>
      <w:r>
        <w:rPr>
          <w:rFonts w:ascii="仿宋_GB2312" w:hAnsi="仿宋" w:hint="eastAsia"/>
        </w:rPr>
        <w:t>″</w:t>
      </w:r>
      <w:r>
        <w:rPr>
          <w:rFonts w:ascii="仿宋_GB2312" w:hAnsi="仿宋" w:hint="eastAsia"/>
        </w:rPr>
        <w:t>，北纬</w:t>
      </w:r>
      <w:r>
        <w:rPr>
          <w:rFonts w:ascii="仿宋_GB2312" w:hAnsi="仿宋" w:hint="eastAsia"/>
        </w:rPr>
        <w:t>40</w:t>
      </w:r>
      <w:r>
        <w:rPr>
          <w:rFonts w:ascii="仿宋_GB2312" w:hAnsi="仿宋" w:hint="eastAsia"/>
        </w:rPr>
        <w:t>°</w:t>
      </w:r>
      <w:r>
        <w:rPr>
          <w:rFonts w:ascii="仿宋_GB2312" w:hAnsi="仿宋" w:hint="eastAsia"/>
        </w:rPr>
        <w:t>21</w:t>
      </w:r>
      <w:r>
        <w:rPr>
          <w:rFonts w:ascii="仿宋_GB2312" w:hAnsi="仿宋" w:hint="eastAsia"/>
        </w:rPr>
        <w:t>′</w:t>
      </w:r>
      <w:r>
        <w:rPr>
          <w:rFonts w:ascii="仿宋_GB2312" w:hAnsi="仿宋" w:hint="eastAsia"/>
        </w:rPr>
        <w:t>39.706</w:t>
      </w:r>
      <w:r>
        <w:rPr>
          <w:rFonts w:ascii="仿宋_GB2312" w:hAnsi="仿宋" w:hint="eastAsia"/>
        </w:rPr>
        <w:t>"</w:t>
      </w:r>
      <w:r>
        <w:rPr>
          <w:rFonts w:ascii="仿宋_GB2312" w:hAnsi="仿宋" w:hint="eastAsia"/>
        </w:rPr>
        <w:t>。</w:t>
      </w:r>
      <w:r>
        <w:rPr>
          <w:rFonts w:ascii="仿宋_GB2312" w:hAnsi="仿宋_GB2312" w:cs="仿宋_GB2312" w:hint="eastAsia"/>
        </w:rPr>
        <w:t>项目</w:t>
      </w:r>
      <w:r>
        <w:rPr>
          <w:rFonts w:ascii="仿宋_GB2312" w:hAnsi="仿宋_GB2312" w:cs="仿宋_GB2312" w:hint="eastAsia"/>
        </w:rPr>
        <w:t>占地面</w:t>
      </w:r>
      <w:r>
        <w:rPr>
          <w:rFonts w:ascii="仿宋_GB2312" w:hAnsi="仿宋" w:hint="eastAsia"/>
        </w:rPr>
        <w:t>积</w:t>
      </w:r>
      <w:r>
        <w:rPr>
          <w:rFonts w:ascii="仿宋_GB2312" w:hAnsi="仿宋" w:hint="eastAsia"/>
          <w:color w:val="000000"/>
        </w:rPr>
        <w:t>20226.39</w:t>
      </w:r>
      <w:r>
        <w:rPr>
          <w:rFonts w:ascii="仿宋_GB2312" w:hAnsi="仿宋" w:hint="eastAsia"/>
        </w:rPr>
        <w:t>平方米</w:t>
      </w:r>
      <w:r>
        <w:rPr>
          <w:rFonts w:ascii="仿宋_GB2312" w:hAnsi="仿宋_GB2312" w:cs="仿宋_GB2312" w:hint="eastAsia"/>
        </w:rPr>
        <w:t>，</w:t>
      </w:r>
      <w:r>
        <w:rPr>
          <w:rFonts w:ascii="仿宋_GB2312" w:hAnsi="仿宋_GB2312" w:cs="仿宋_GB2312" w:hint="eastAsia"/>
        </w:rPr>
        <w:t>主要建设内容：</w:t>
      </w:r>
      <w:r>
        <w:rPr>
          <w:rFonts w:ascii="仿宋_GB2312" w:hAnsi="仿宋_GB2312" w:cs="仿宋_GB2312" w:hint="eastAsia"/>
        </w:rPr>
        <w:t>建设</w:t>
      </w:r>
      <w:r>
        <w:rPr>
          <w:rFonts w:ascii="仿宋_GB2312" w:hAnsi="仿宋_GB2312" w:cs="仿宋_GB2312" w:hint="eastAsia"/>
        </w:rPr>
        <w:t>1</w:t>
      </w:r>
      <w:r>
        <w:rPr>
          <w:rFonts w:ascii="仿宋_GB2312" w:hAnsi="仿宋_GB2312" w:cs="仿宋_GB2312" w:hint="eastAsia"/>
        </w:rPr>
        <w:t>台</w:t>
      </w:r>
      <w:r>
        <w:rPr>
          <w:rFonts w:ascii="仿宋_GB2312" w:hAnsi="仿宋_GB2312" w:cs="仿宋_GB2312" w:hint="eastAsia"/>
        </w:rPr>
        <w:t>45.5MW</w:t>
      </w:r>
      <w:r>
        <w:rPr>
          <w:rFonts w:ascii="仿宋_GB2312" w:hAnsi="仿宋_GB2312" w:cs="仿宋_GB2312" w:hint="eastAsia"/>
        </w:rPr>
        <w:t>（</w:t>
      </w:r>
      <w:r>
        <w:rPr>
          <w:rFonts w:ascii="仿宋_GB2312" w:hAnsi="仿宋_GB2312" w:cs="仿宋_GB2312" w:hint="eastAsia"/>
        </w:rPr>
        <w:t>65t/</w:t>
      </w:r>
      <w:r>
        <w:rPr>
          <w:rFonts w:ascii="仿宋_GB2312" w:hAnsi="仿宋" w:hint="eastAsia"/>
          <w:szCs w:val="22"/>
        </w:rPr>
        <w:t>h</w:t>
      </w:r>
      <w:r>
        <w:rPr>
          <w:rFonts w:ascii="仿宋_GB2312" w:hAnsi="仿宋_GB2312" w:cs="仿宋_GB2312" w:hint="eastAsia"/>
        </w:rPr>
        <w:t>）锅炉、</w:t>
      </w:r>
      <w:r>
        <w:rPr>
          <w:rFonts w:ascii="仿宋_GB2312" w:hAnsi="仿宋_GB2312" w:cs="仿宋_GB2312" w:hint="eastAsia"/>
        </w:rPr>
        <w:t>1</w:t>
      </w:r>
      <w:r>
        <w:rPr>
          <w:rFonts w:ascii="仿宋_GB2312" w:hAnsi="仿宋_GB2312" w:cs="仿宋_GB2312" w:hint="eastAsia"/>
        </w:rPr>
        <w:t>套</w:t>
      </w:r>
      <w:r>
        <w:rPr>
          <w:rFonts w:ascii="仿宋_GB2312" w:hAnsi="仿宋" w:hint="eastAsia"/>
          <w:szCs w:val="22"/>
        </w:rPr>
        <w:t>SNCR</w:t>
      </w:r>
      <w:r>
        <w:rPr>
          <w:rFonts w:ascii="仿宋_GB2312" w:hAnsi="仿宋" w:hint="eastAsia"/>
          <w:szCs w:val="22"/>
        </w:rPr>
        <w:t>脱硝装置</w:t>
      </w:r>
      <w:r>
        <w:rPr>
          <w:rFonts w:ascii="仿宋_GB2312" w:hAnsi="仿宋" w:hint="eastAsia"/>
          <w:szCs w:val="22"/>
        </w:rPr>
        <w:t>+</w:t>
      </w:r>
      <w:r>
        <w:rPr>
          <w:rFonts w:ascii="仿宋_GB2312" w:hAnsi="仿宋" w:hint="eastAsia"/>
          <w:szCs w:val="22"/>
        </w:rPr>
        <w:t>布袋除</w:t>
      </w:r>
      <w:r>
        <w:rPr>
          <w:rFonts w:ascii="仿宋_GB2312" w:hAnsi="仿宋" w:hint="eastAsia"/>
          <w:szCs w:val="22"/>
        </w:rPr>
        <w:lastRenderedPageBreak/>
        <w:t>尘器</w:t>
      </w:r>
      <w:r>
        <w:rPr>
          <w:rFonts w:ascii="仿宋_GB2312" w:hAnsi="仿宋" w:hint="eastAsia"/>
          <w:szCs w:val="22"/>
        </w:rPr>
        <w:t>+</w:t>
      </w:r>
      <w:r>
        <w:rPr>
          <w:rFonts w:ascii="仿宋_GB2312" w:hAnsi="仿宋" w:hint="eastAsia"/>
          <w:szCs w:val="22"/>
        </w:rPr>
        <w:t>双碱法脱硫烟气处理装置</w:t>
      </w:r>
      <w:r>
        <w:rPr>
          <w:rFonts w:ascii="仿宋_GB2312" w:hAnsi="仿宋_GB2312" w:cs="仿宋_GB2312" w:hint="eastAsia"/>
        </w:rPr>
        <w:t>，同时配套建设辅助工程、储运工程、公用工程和环保工程</w:t>
      </w:r>
      <w:r>
        <w:rPr>
          <w:rFonts w:ascii="仿宋_GB2312" w:hAnsi="仿宋" w:hint="eastAsia"/>
        </w:rPr>
        <w:t>。</w:t>
      </w:r>
      <w:r>
        <w:rPr>
          <w:rFonts w:ascii="仿宋_GB2312" w:hAnsi="仿宋_GB2312" w:cs="仿宋_GB2312" w:hint="eastAsia"/>
        </w:rPr>
        <w:t>项目</w:t>
      </w:r>
      <w:r>
        <w:rPr>
          <w:rFonts w:ascii="仿宋_GB2312" w:hAnsi="仿宋" w:hint="eastAsia"/>
        </w:rPr>
        <w:t>投资</w:t>
      </w:r>
      <w:r>
        <w:rPr>
          <w:rFonts w:ascii="仿宋_GB2312" w:hAnsi="仿宋" w:hint="eastAsia"/>
        </w:rPr>
        <w:t>2610</w:t>
      </w:r>
      <w:r>
        <w:rPr>
          <w:rFonts w:ascii="仿宋_GB2312" w:hAnsi="仿宋" w:hint="eastAsia"/>
        </w:rPr>
        <w:t>万元，其中环保投资</w:t>
      </w:r>
      <w:r>
        <w:rPr>
          <w:rFonts w:ascii="仿宋_GB2312" w:hAnsi="仿宋" w:hint="eastAsia"/>
        </w:rPr>
        <w:t>2</w:t>
      </w:r>
      <w:r>
        <w:rPr>
          <w:rFonts w:ascii="仿宋_GB2312" w:hAnsi="仿宋" w:hint="eastAsia"/>
        </w:rPr>
        <w:t>6</w:t>
      </w:r>
      <w:r>
        <w:rPr>
          <w:rFonts w:ascii="仿宋_GB2312" w:hAnsi="仿宋" w:hint="eastAsia"/>
        </w:rPr>
        <w:t>0</w:t>
      </w:r>
      <w:r>
        <w:rPr>
          <w:rFonts w:ascii="仿宋_GB2312" w:hAnsi="仿宋" w:hint="eastAsia"/>
        </w:rPr>
        <w:t>万元，占总投资比例</w:t>
      </w:r>
      <w:r>
        <w:rPr>
          <w:rFonts w:ascii="仿宋_GB2312" w:hAnsi="仿宋" w:hint="eastAsia"/>
        </w:rPr>
        <w:t>9.96</w:t>
      </w:r>
      <w:r>
        <w:rPr>
          <w:rFonts w:ascii="仿宋_GB2312" w:hAnsi="仿宋" w:hint="eastAsia"/>
        </w:rPr>
        <w:t>%</w:t>
      </w:r>
      <w:r>
        <w:rPr>
          <w:rFonts w:ascii="仿宋_GB2312" w:hAnsi="仿宋_GB2312" w:cs="仿宋_GB2312" w:hint="eastAsia"/>
        </w:rPr>
        <w:t>。</w:t>
      </w:r>
    </w:p>
    <w:p w:rsidR="00902DBF" w:rsidRDefault="00EF16B5" w:rsidP="005B664B">
      <w:pPr>
        <w:spacing w:line="560" w:lineRule="exact"/>
        <w:ind w:firstLineChars="200" w:firstLine="609"/>
        <w:rPr>
          <w:rFonts w:ascii="仿宋_GB2312"/>
        </w:rPr>
      </w:pPr>
      <w:r>
        <w:rPr>
          <w:rFonts w:ascii="仿宋_GB2312" w:hAnsi="仿宋_GB2312" w:cs="仿宋_GB2312" w:hint="eastAsia"/>
        </w:rPr>
        <w:t>二</w:t>
      </w:r>
      <w:r>
        <w:rPr>
          <w:rFonts w:ascii="仿宋_GB2312" w:hAnsi="仿宋_GB2312" w:cs="仿宋_GB2312" w:hint="eastAsia"/>
        </w:rPr>
        <w:t>、该项目属于热力生产</w:t>
      </w:r>
      <w:bookmarkStart w:id="0" w:name="_GoBack"/>
      <w:bookmarkEnd w:id="0"/>
      <w:r>
        <w:rPr>
          <w:rFonts w:ascii="仿宋_GB2312" w:hAnsi="仿宋_GB2312" w:cs="仿宋_GB2312" w:hint="eastAsia"/>
        </w:rPr>
        <w:t>和供应</w:t>
      </w:r>
      <w:r>
        <w:rPr>
          <w:rFonts w:ascii="仿宋_GB2312" w:hAnsi="仿宋_GB2312" w:cs="仿宋_GB2312" w:hint="eastAsia"/>
        </w:rPr>
        <w:t>工程</w:t>
      </w:r>
      <w:r>
        <w:rPr>
          <w:rFonts w:ascii="仿宋_GB2312" w:hAnsi="仿宋_GB2312" w:cs="仿宋_GB2312" w:hint="eastAsia"/>
        </w:rPr>
        <w:t>中，燃煤、</w:t>
      </w:r>
      <w:r>
        <w:rPr>
          <w:rFonts w:ascii="仿宋_GB2312" w:hAnsi="仿宋_GB2312" w:cs="仿宋_GB2312" w:hint="eastAsia"/>
        </w:rPr>
        <w:t>燃油锅炉</w:t>
      </w:r>
      <w:r>
        <w:rPr>
          <w:rFonts w:ascii="仿宋_GB2312" w:hAnsi="仿宋_GB2312" w:cs="仿宋_GB2312" w:hint="eastAsia"/>
        </w:rPr>
        <w:t>总容量</w:t>
      </w:r>
      <w:r>
        <w:rPr>
          <w:rFonts w:ascii="仿宋_GB2312" w:hAnsi="仿宋_GB2312" w:cs="仿宋_GB2312" w:hint="eastAsia"/>
        </w:rPr>
        <w:t>65</w:t>
      </w:r>
      <w:r>
        <w:rPr>
          <w:rFonts w:ascii="仿宋_GB2312" w:hAnsi="仿宋_GB2312" w:cs="仿宋_GB2312" w:hint="eastAsia"/>
        </w:rPr>
        <w:t>吨</w:t>
      </w:r>
      <w:r>
        <w:rPr>
          <w:rFonts w:ascii="仿宋_GB2312" w:hAnsi="仿宋_GB2312" w:cs="仿宋_GB2312" w:hint="eastAsia"/>
        </w:rPr>
        <w:t>/</w:t>
      </w:r>
      <w:r>
        <w:rPr>
          <w:rFonts w:ascii="仿宋_GB2312" w:hAnsi="仿宋_GB2312" w:cs="仿宋_GB2312" w:hint="eastAsia"/>
        </w:rPr>
        <w:t>小时（</w:t>
      </w:r>
      <w:r>
        <w:rPr>
          <w:rFonts w:ascii="仿宋_GB2312" w:hAnsi="仿宋_GB2312" w:cs="仿宋_GB2312" w:hint="eastAsia"/>
        </w:rPr>
        <w:t>45.5</w:t>
      </w:r>
      <w:r>
        <w:rPr>
          <w:rFonts w:ascii="仿宋_GB2312" w:hAnsi="仿宋_GB2312" w:cs="仿宋_GB2312" w:hint="eastAsia"/>
        </w:rPr>
        <w:t>兆瓦）及以下的项目</w:t>
      </w:r>
      <w:r>
        <w:rPr>
          <w:rFonts w:ascii="仿宋_GB2312" w:hAnsi="仿宋_GB2312" w:cs="仿宋_GB2312" w:hint="eastAsia"/>
        </w:rPr>
        <w:t>，</w:t>
      </w:r>
      <w:r>
        <w:rPr>
          <w:rFonts w:ascii="仿宋_GB2312" w:hint="eastAsia"/>
        </w:rPr>
        <w:t>我局原则同意报告表的结论。</w:t>
      </w:r>
      <w:r>
        <w:rPr>
          <w:rFonts w:ascii="仿宋_GB2312" w:hint="eastAsia"/>
        </w:rPr>
        <w:t>项目</w:t>
      </w:r>
      <w:r>
        <w:rPr>
          <w:rFonts w:ascii="仿宋_GB2312" w:hAnsi="仿宋" w:hint="eastAsia"/>
          <w:color w:val="000000"/>
        </w:rPr>
        <w:t>工艺流程</w:t>
      </w:r>
      <w:r>
        <w:rPr>
          <w:rFonts w:ascii="仿宋_GB2312" w:hAnsi="仿宋" w:hint="eastAsia"/>
          <w:color w:val="000000"/>
        </w:rPr>
        <w:t>为</w:t>
      </w:r>
      <w:r>
        <w:rPr>
          <w:rFonts w:ascii="仿宋_GB2312" w:hAnsi="仿宋" w:hint="eastAsia"/>
          <w:color w:val="000000"/>
        </w:rPr>
        <w:t>：</w:t>
      </w:r>
      <w:r>
        <w:rPr>
          <w:rFonts w:ascii="仿宋_GB2312" w:hAnsi="仿宋" w:hint="eastAsia"/>
          <w:color w:val="000000"/>
        </w:rPr>
        <w:t>堆煤场→锅炉→</w:t>
      </w:r>
      <w:r>
        <w:rPr>
          <w:rFonts w:ascii="仿宋_GB2312" w:hAnsi="仿宋" w:hint="eastAsia"/>
          <w:color w:val="000000"/>
        </w:rPr>
        <w:t>SNCR</w:t>
      </w:r>
      <w:r>
        <w:rPr>
          <w:rFonts w:ascii="仿宋_GB2312" w:hAnsi="仿宋" w:hint="eastAsia"/>
          <w:color w:val="000000"/>
        </w:rPr>
        <w:t>脱硝系统→布袋除尘→引风机→双碱法脱硫装置→烟囱</w:t>
      </w:r>
      <w:r>
        <w:rPr>
          <w:rFonts w:ascii="仿宋_GB2312" w:hAnsi="仿宋" w:hint="eastAsia"/>
          <w:color w:val="000000"/>
          <w:szCs w:val="20"/>
        </w:rPr>
        <w:t>。</w:t>
      </w:r>
      <w:r>
        <w:rPr>
          <w:rFonts w:ascii="仿宋_GB2312" w:hAnsi="仿宋_GB2312" w:cs="仿宋_GB2312" w:hint="eastAsia"/>
        </w:rPr>
        <w:t>项目经投资主管部门依法审批后，</w:t>
      </w:r>
      <w:r>
        <w:rPr>
          <w:rFonts w:ascii="仿宋_GB2312" w:hAnsi="仿宋_GB2312" w:cs="仿宋_GB2312" w:hint="eastAsia"/>
        </w:rPr>
        <w:t>你单位须严格按照报告表所列建设项目的性质、规模、地点、工艺和环境保护对策措施实施项目建设和运营。</w:t>
      </w:r>
    </w:p>
    <w:p w:rsidR="00902DBF" w:rsidRDefault="00EF16B5" w:rsidP="005B664B">
      <w:pPr>
        <w:adjustRightInd w:val="0"/>
        <w:snapToGrid w:val="0"/>
        <w:spacing w:line="560" w:lineRule="exact"/>
        <w:ind w:firstLine="630"/>
        <w:rPr>
          <w:rFonts w:ascii="仿宋_GB2312" w:hAnsi="仿宋_GB2312" w:cs="仿宋_GB2312"/>
        </w:rPr>
      </w:pPr>
      <w:r>
        <w:rPr>
          <w:rFonts w:ascii="仿宋_GB2312" w:hAnsi="仿宋_GB2312" w:cs="仿宋_GB2312" w:hint="eastAsia"/>
        </w:rPr>
        <w:t>三、</w:t>
      </w:r>
      <w:r>
        <w:rPr>
          <w:rFonts w:ascii="仿宋_GB2312" w:hAnsi="仿宋_GB2312" w:cs="仿宋_GB2312" w:hint="eastAsia"/>
        </w:rPr>
        <w:t>该</w:t>
      </w:r>
      <w:r>
        <w:rPr>
          <w:rFonts w:ascii="仿宋_GB2312" w:hAnsi="仿宋" w:hint="eastAsia"/>
        </w:rPr>
        <w:t>项目建成运行后，原有锅炉须停止使用。</w:t>
      </w:r>
      <w:r>
        <w:rPr>
          <w:rFonts w:ascii="仿宋_GB2312" w:hAnsi="仿宋_GB2312" w:cs="仿宋_GB2312" w:hint="eastAsia"/>
        </w:rPr>
        <w:t>你单位在项目建设和运营中，应严格执行有关环境质量标准和污染物排放标准，认真、全面落实报告表提出的各项环保对策措施要求，确保污染物达标排放和各环境敏感点满足相应功能要求。重点做好以下工作：</w:t>
      </w:r>
    </w:p>
    <w:p w:rsidR="00902DBF" w:rsidRDefault="00EF16B5" w:rsidP="005B664B">
      <w:pPr>
        <w:adjustRightInd w:val="0"/>
        <w:snapToGrid w:val="0"/>
        <w:spacing w:line="560" w:lineRule="exact"/>
        <w:ind w:firstLineChars="200" w:firstLine="609"/>
        <w:rPr>
          <w:rFonts w:ascii="仿宋_GB2312" w:hAnsi="仿宋_GB2312" w:cs="仿宋_GB2312"/>
        </w:rPr>
      </w:pPr>
      <w:r>
        <w:rPr>
          <w:rFonts w:ascii="仿宋_GB2312" w:hAnsi="仿宋_GB2312" w:cs="仿宋_GB2312" w:hint="eastAsia"/>
        </w:rPr>
        <w:t>（一）认真落实施工期环境保护措施。做好施工过程中的降噪、防尘措施、施工固废清理和水</w:t>
      </w:r>
      <w:r>
        <w:rPr>
          <w:rFonts w:ascii="仿宋_GB2312" w:hAnsi="仿宋_GB2312" w:cs="仿宋_GB2312" w:hint="eastAsia"/>
        </w:rPr>
        <w:t>土保持等生态保护措施，妥善处置施工废弃物、生活垃圾及生活污水。</w:t>
      </w:r>
    </w:p>
    <w:p w:rsidR="00902DBF" w:rsidRDefault="00EF16B5" w:rsidP="005B664B">
      <w:pPr>
        <w:adjustRightInd w:val="0"/>
        <w:snapToGrid w:val="0"/>
        <w:spacing w:line="560" w:lineRule="exact"/>
        <w:ind w:firstLineChars="200" w:firstLine="609"/>
        <w:rPr>
          <w:rFonts w:ascii="仿宋_GB2312" w:hAnsi="仿宋_GB2312" w:cs="仿宋_GB2312"/>
        </w:rPr>
      </w:pPr>
      <w:r>
        <w:rPr>
          <w:rFonts w:ascii="仿宋_GB2312" w:hAnsi="仿宋_GB2312" w:cs="仿宋_GB2312" w:hint="eastAsia"/>
        </w:rPr>
        <w:t>（二）严格落实大气污染防治措施。项目运营期废气主要</w:t>
      </w:r>
      <w:r>
        <w:rPr>
          <w:rFonts w:ascii="仿宋_GB2312" w:hAnsi="仿宋_GB2312" w:cs="仿宋_GB2312" w:hint="eastAsia"/>
        </w:rPr>
        <w:t>为</w:t>
      </w:r>
      <w:r>
        <w:rPr>
          <w:rFonts w:ascii="仿宋_GB2312" w:hAnsi="仿宋_GB2312" w:cs="仿宋_GB2312" w:hint="eastAsia"/>
        </w:rPr>
        <w:t>煤棚粉尘</w:t>
      </w:r>
      <w:r>
        <w:rPr>
          <w:rFonts w:ascii="仿宋_GB2312" w:hAnsi="仿宋_GB2312" w:cs="仿宋_GB2312" w:hint="eastAsia"/>
        </w:rPr>
        <w:t>和</w:t>
      </w:r>
      <w:r>
        <w:rPr>
          <w:rFonts w:ascii="仿宋_GB2312" w:hint="eastAsia"/>
        </w:rPr>
        <w:t>锅炉烟气，污染物为</w:t>
      </w:r>
      <w:r>
        <w:rPr>
          <w:rFonts w:ascii="仿宋_GB2312" w:hAnsi="仿宋_GB2312" w:cs="仿宋_GB2312" w:hint="eastAsia"/>
        </w:rPr>
        <w:t>颗粒物、二氧化硫、氮氧化物、汞及其化合物</w:t>
      </w:r>
      <w:r>
        <w:rPr>
          <w:rFonts w:ascii="仿宋_GB2312" w:hAnsi="仿宋_GB2312" w:cs="仿宋_GB2312" w:hint="eastAsia"/>
        </w:rPr>
        <w:t>。</w:t>
      </w:r>
      <w:r>
        <w:rPr>
          <w:rFonts w:ascii="仿宋_GB2312" w:hAnsi="仿宋_GB2312" w:cs="仿宋_GB2312" w:hint="eastAsia"/>
        </w:rPr>
        <w:t>颗粒物、二氧化硫、氮氧化物、汞及其化合物</w:t>
      </w:r>
      <w:r>
        <w:rPr>
          <w:rFonts w:ascii="仿宋_GB2312" w:hAnsi="仿宋_GB2312" w:cs="仿宋_GB2312" w:hint="eastAsia"/>
        </w:rPr>
        <w:t>采用</w:t>
      </w:r>
      <w:r>
        <w:rPr>
          <w:rFonts w:ascii="仿宋_GB2312" w:hAnsi="仿宋_GB2312" w:cs="仿宋_GB2312" w:hint="eastAsia"/>
        </w:rPr>
        <w:t>SNCR</w:t>
      </w:r>
      <w:r>
        <w:rPr>
          <w:rFonts w:ascii="仿宋_GB2312" w:hAnsi="仿宋_GB2312" w:cs="仿宋_GB2312" w:hint="eastAsia"/>
        </w:rPr>
        <w:t>脱硝装置</w:t>
      </w:r>
      <w:r>
        <w:rPr>
          <w:rFonts w:ascii="仿宋_GB2312" w:hAnsi="仿宋_GB2312" w:cs="仿宋_GB2312" w:hint="eastAsia"/>
        </w:rPr>
        <w:t>+</w:t>
      </w:r>
      <w:r>
        <w:rPr>
          <w:rFonts w:ascii="仿宋_GB2312" w:hAnsi="仿宋_GB2312" w:cs="仿宋_GB2312" w:hint="eastAsia"/>
        </w:rPr>
        <w:t>布袋除尘器</w:t>
      </w:r>
      <w:r>
        <w:rPr>
          <w:rFonts w:ascii="仿宋_GB2312" w:hAnsi="仿宋_GB2312" w:cs="仿宋_GB2312" w:hint="eastAsia"/>
        </w:rPr>
        <w:t>+</w:t>
      </w:r>
      <w:r>
        <w:rPr>
          <w:rFonts w:ascii="仿宋_GB2312" w:hAnsi="仿宋_GB2312" w:cs="仿宋_GB2312" w:hint="eastAsia"/>
        </w:rPr>
        <w:t>双碱法脱硫</w:t>
      </w:r>
      <w:r>
        <w:rPr>
          <w:rFonts w:ascii="仿宋_GB2312" w:hAnsi="仿宋_GB2312" w:cs="仿宋_GB2312" w:hint="eastAsia"/>
        </w:rPr>
        <w:t>系统处理后</w:t>
      </w:r>
      <w:r>
        <w:rPr>
          <w:rFonts w:ascii="仿宋_GB2312" w:hAnsi="仿宋_GB2312" w:cs="仿宋_GB2312" w:hint="eastAsia"/>
        </w:rPr>
        <w:t>，</w:t>
      </w:r>
      <w:r>
        <w:rPr>
          <w:rFonts w:ascii="仿宋_GB2312" w:hint="eastAsia"/>
        </w:rPr>
        <w:t>经</w:t>
      </w:r>
      <w:r>
        <w:rPr>
          <w:rFonts w:ascii="仿宋_GB2312" w:hint="eastAsia"/>
        </w:rPr>
        <w:t>45</w:t>
      </w:r>
      <w:r>
        <w:rPr>
          <w:rFonts w:ascii="仿宋_GB2312" w:hint="eastAsia"/>
        </w:rPr>
        <w:t>米高烟囱排放，</w:t>
      </w:r>
      <w:r>
        <w:rPr>
          <w:rFonts w:ascii="仿宋_GB2312" w:hAnsi="仿宋_GB2312" w:cs="仿宋_GB2312" w:hint="eastAsia"/>
        </w:rPr>
        <w:t>废气</w:t>
      </w:r>
      <w:r>
        <w:rPr>
          <w:rFonts w:ascii="仿宋_GB2312" w:hAnsi="仿宋_GB2312" w:cs="仿宋_GB2312" w:hint="eastAsia"/>
        </w:rPr>
        <w:t>中颗粒物、</w:t>
      </w:r>
      <w:r>
        <w:rPr>
          <w:rFonts w:ascii="仿宋_GB2312" w:hAnsi="仿宋_GB2312" w:cs="仿宋_GB2312" w:hint="eastAsia"/>
        </w:rPr>
        <w:t>SO</w:t>
      </w:r>
      <w:r>
        <w:rPr>
          <w:rFonts w:ascii="仿宋_GB2312" w:hAnsi="仿宋_GB2312" w:cs="仿宋_GB2312" w:hint="eastAsia"/>
          <w:vertAlign w:val="subscript"/>
        </w:rPr>
        <w:t>2</w:t>
      </w:r>
      <w:r>
        <w:rPr>
          <w:rFonts w:ascii="仿宋_GB2312" w:hAnsi="仿宋_GB2312" w:cs="仿宋_GB2312" w:hint="eastAsia"/>
        </w:rPr>
        <w:t>、</w:t>
      </w:r>
      <w:proofErr w:type="spellStart"/>
      <w:r>
        <w:rPr>
          <w:rFonts w:ascii="仿宋_GB2312" w:hAnsi="仿宋_GB2312" w:cs="仿宋_GB2312" w:hint="eastAsia"/>
        </w:rPr>
        <w:t>NOx</w:t>
      </w:r>
      <w:proofErr w:type="spellEnd"/>
      <w:r>
        <w:rPr>
          <w:rFonts w:ascii="仿宋_GB2312" w:hAnsi="仿宋_GB2312" w:cs="仿宋_GB2312" w:hint="eastAsia"/>
        </w:rPr>
        <w:t>和汞及其化合物排放浓度均</w:t>
      </w:r>
      <w:r>
        <w:rPr>
          <w:rFonts w:ascii="仿宋_GB2312" w:hAnsi="仿宋_GB2312" w:cs="仿宋_GB2312" w:hint="eastAsia"/>
        </w:rPr>
        <w:t>须</w:t>
      </w:r>
      <w:r>
        <w:rPr>
          <w:rFonts w:ascii="仿宋_GB2312" w:hAnsi="仿宋_GB2312" w:cs="仿宋_GB2312" w:hint="eastAsia"/>
        </w:rPr>
        <w:t>满足《锅</w:t>
      </w:r>
      <w:r>
        <w:rPr>
          <w:rFonts w:ascii="仿宋_GB2312" w:hAnsi="仿宋_GB2312" w:cs="仿宋_GB2312" w:hint="eastAsia"/>
        </w:rPr>
        <w:lastRenderedPageBreak/>
        <w:t>炉大气污染物排放标准》（</w:t>
      </w:r>
      <w:r>
        <w:rPr>
          <w:rFonts w:ascii="仿宋_GB2312" w:hAnsi="仿宋_GB2312" w:cs="仿宋_GB2312" w:hint="eastAsia"/>
        </w:rPr>
        <w:t>GB</w:t>
      </w:r>
      <w:r>
        <w:rPr>
          <w:rFonts w:ascii="仿宋_GB2312" w:hAnsi="仿宋_GB2312" w:cs="仿宋_GB2312" w:hint="eastAsia"/>
        </w:rPr>
        <w:t xml:space="preserve"> 1</w:t>
      </w:r>
      <w:r>
        <w:rPr>
          <w:rFonts w:ascii="仿宋_GB2312" w:hAnsi="仿宋_GB2312" w:cs="仿宋_GB2312" w:hint="eastAsia"/>
        </w:rPr>
        <w:t>3271-2014</w:t>
      </w:r>
      <w:r>
        <w:rPr>
          <w:rFonts w:ascii="仿宋_GB2312" w:hAnsi="仿宋_GB2312" w:cs="仿宋_GB2312" w:hint="eastAsia"/>
        </w:rPr>
        <w:t>）中表</w:t>
      </w:r>
      <w:r>
        <w:rPr>
          <w:rFonts w:ascii="仿宋_GB2312" w:hAnsi="仿宋_GB2312" w:cs="仿宋_GB2312" w:hint="eastAsia"/>
        </w:rPr>
        <w:t>2</w:t>
      </w:r>
      <w:r>
        <w:rPr>
          <w:rFonts w:ascii="仿宋_GB2312" w:hAnsi="仿宋_GB2312" w:cs="仿宋_GB2312" w:hint="eastAsia"/>
        </w:rPr>
        <w:t>中燃气锅炉大气污染物排放浓度限值要求。煤棚粉尘</w:t>
      </w:r>
      <w:r>
        <w:rPr>
          <w:rFonts w:ascii="仿宋_GB2312" w:hAnsi="仿宋_GB2312" w:cs="仿宋_GB2312" w:hint="eastAsia"/>
        </w:rPr>
        <w:t>采取对给煤系统单元密闭，储煤场、渣场全封闭，四周</w:t>
      </w:r>
      <w:r>
        <w:rPr>
          <w:rFonts w:ascii="仿宋_GB2312" w:hint="eastAsia"/>
        </w:rPr>
        <w:t>设置喷水装置，定期洒水降尘等措施，确保颗粒物排放浓度满足《大气污染</w:t>
      </w:r>
      <w:r>
        <w:rPr>
          <w:rFonts w:ascii="仿宋_GB2312" w:hAnsi="仿宋_GB2312" w:cs="仿宋_GB2312" w:hint="eastAsia"/>
        </w:rPr>
        <w:t>物综合排放标准》（</w:t>
      </w:r>
      <w:r>
        <w:rPr>
          <w:rFonts w:ascii="仿宋_GB2312" w:hAnsi="仿宋_GB2312" w:cs="仿宋_GB2312" w:hint="eastAsia"/>
        </w:rPr>
        <w:t>GB 16297-1996</w:t>
      </w:r>
      <w:r>
        <w:rPr>
          <w:rFonts w:ascii="仿宋_GB2312" w:hAnsi="仿宋_GB2312" w:cs="仿宋_GB2312" w:hint="eastAsia"/>
        </w:rPr>
        <w:t>）中无组织排放源周界外浓度标准限值要求</w:t>
      </w:r>
      <w:r>
        <w:rPr>
          <w:rFonts w:ascii="仿宋_GB2312" w:hAnsi="仿宋_GB2312" w:cs="仿宋_GB2312" w:hint="eastAsia"/>
        </w:rPr>
        <w:t>。该项目总量控制指标为：颗粒物</w:t>
      </w:r>
      <w:r>
        <w:rPr>
          <w:rFonts w:ascii="仿宋_GB2312" w:hAnsi="PMingLiU" w:cs="PMingLiU" w:hint="eastAsia"/>
        </w:rPr>
        <w:t>6.</w:t>
      </w:r>
      <w:r>
        <w:rPr>
          <w:rFonts w:ascii="仿宋_GB2312" w:hAnsi="PMingLiU" w:cs="PMingLiU" w:hint="eastAsia"/>
        </w:rPr>
        <w:t>55</w:t>
      </w:r>
      <w:r>
        <w:rPr>
          <w:rFonts w:ascii="仿宋_GB2312" w:hAnsi="仿宋_GB2312" w:cs="仿宋_GB2312" w:hint="eastAsia"/>
        </w:rPr>
        <w:t>吨</w:t>
      </w:r>
      <w:r>
        <w:rPr>
          <w:rFonts w:ascii="仿宋_GB2312" w:hAnsi="仿宋_GB2312" w:cs="仿宋_GB2312" w:hint="eastAsia"/>
        </w:rPr>
        <w:t>/</w:t>
      </w:r>
      <w:r>
        <w:rPr>
          <w:rFonts w:ascii="仿宋_GB2312" w:hAnsi="仿宋_GB2312" w:cs="仿宋_GB2312" w:hint="eastAsia"/>
        </w:rPr>
        <w:t>年、二氧化硫</w:t>
      </w:r>
      <w:r>
        <w:rPr>
          <w:rFonts w:ascii="仿宋_GB2312" w:hAnsi="PMingLiU" w:cs="PMingLiU" w:hint="eastAsia"/>
        </w:rPr>
        <w:t>26.56</w:t>
      </w:r>
      <w:r>
        <w:rPr>
          <w:rFonts w:ascii="仿宋_GB2312" w:hAnsi="仿宋_GB2312" w:cs="仿宋_GB2312" w:hint="eastAsia"/>
        </w:rPr>
        <w:t>吨</w:t>
      </w:r>
      <w:r>
        <w:rPr>
          <w:rFonts w:ascii="仿宋_GB2312" w:hAnsi="仿宋_GB2312" w:cs="仿宋_GB2312" w:hint="eastAsia"/>
        </w:rPr>
        <w:t>/</w:t>
      </w:r>
      <w:r>
        <w:rPr>
          <w:rFonts w:ascii="仿宋_GB2312" w:hAnsi="仿宋_GB2312" w:cs="仿宋_GB2312" w:hint="eastAsia"/>
        </w:rPr>
        <w:t>年、氮氧化物</w:t>
      </w:r>
      <w:r>
        <w:rPr>
          <w:rFonts w:ascii="仿宋_GB2312" w:hAnsi="PMingLiU" w:cs="PMingLiU" w:hint="eastAsia"/>
        </w:rPr>
        <w:t>58.55</w:t>
      </w:r>
      <w:r>
        <w:rPr>
          <w:rFonts w:ascii="仿宋_GB2312" w:hAnsi="仿宋_GB2312" w:cs="仿宋_GB2312" w:hint="eastAsia"/>
        </w:rPr>
        <w:t>吨</w:t>
      </w:r>
      <w:r>
        <w:rPr>
          <w:rFonts w:ascii="仿宋_GB2312" w:hAnsi="仿宋_GB2312" w:cs="仿宋_GB2312" w:hint="eastAsia"/>
        </w:rPr>
        <w:t>/</w:t>
      </w:r>
      <w:r>
        <w:rPr>
          <w:rFonts w:ascii="仿宋_GB2312" w:hAnsi="仿宋_GB2312" w:cs="仿宋_GB2312" w:hint="eastAsia"/>
        </w:rPr>
        <w:t>年。</w:t>
      </w:r>
    </w:p>
    <w:p w:rsidR="00902DBF" w:rsidRDefault="00EF16B5" w:rsidP="005B664B">
      <w:pPr>
        <w:adjustRightInd w:val="0"/>
        <w:snapToGrid w:val="0"/>
        <w:spacing w:line="560" w:lineRule="exact"/>
        <w:ind w:firstLineChars="200" w:firstLine="609"/>
        <w:rPr>
          <w:rFonts w:ascii="仿宋_GB2312" w:hAnsi="仿宋_GB2312" w:cs="仿宋_GB2312"/>
        </w:rPr>
      </w:pPr>
      <w:r>
        <w:rPr>
          <w:rFonts w:ascii="仿宋_GB2312" w:hAnsi="仿宋_GB2312" w:cs="仿宋_GB2312" w:hint="eastAsia"/>
        </w:rPr>
        <w:t>（三）严格落实水污染防治措施。</w:t>
      </w:r>
      <w:r>
        <w:rPr>
          <w:rFonts w:ascii="仿宋_GB2312" w:hAnsi="仿宋_GB2312" w:cs="仿宋_GB2312" w:hint="eastAsia"/>
        </w:rPr>
        <w:t>项目</w:t>
      </w:r>
      <w:r>
        <w:rPr>
          <w:rFonts w:ascii="仿宋_GB2312" w:hAnsi="仿宋_GB2312" w:cs="仿宋_GB2312" w:hint="eastAsia"/>
        </w:rPr>
        <w:t>运营期</w:t>
      </w:r>
      <w:r>
        <w:rPr>
          <w:rFonts w:ascii="仿宋_GB2312" w:hAnsi="仿宋_GB2312" w:cs="仿宋_GB2312" w:hint="eastAsia"/>
        </w:rPr>
        <w:t>生产</w:t>
      </w:r>
      <w:r>
        <w:rPr>
          <w:rFonts w:ascii="仿宋_GB2312" w:hAnsi="仿宋_GB2312" w:cs="仿宋_GB2312" w:hint="eastAsia"/>
        </w:rPr>
        <w:t>废水为</w:t>
      </w:r>
      <w:r>
        <w:rPr>
          <w:rFonts w:ascii="仿宋_GB2312" w:hAnsi="仿宋_GB2312" w:cs="仿宋_GB2312" w:hint="eastAsia"/>
        </w:rPr>
        <w:t>锅炉排污水、软水系统反冲洗水</w:t>
      </w:r>
      <w:r>
        <w:rPr>
          <w:rFonts w:ascii="仿宋_GB2312" w:hAnsi="仿宋_GB2312" w:cs="仿宋_GB2312" w:hint="eastAsia"/>
        </w:rPr>
        <w:t>，</w:t>
      </w:r>
      <w:r>
        <w:rPr>
          <w:rFonts w:ascii="仿宋_GB2312" w:hAnsi="仿宋_GB2312" w:cs="仿宋_GB2312" w:hint="eastAsia"/>
        </w:rPr>
        <w:t>排入厂区室外脱硫池降温池处理后，回用于脱硫脱硝系统</w:t>
      </w:r>
      <w:r>
        <w:rPr>
          <w:rFonts w:ascii="仿宋_GB2312" w:hAnsi="仿宋_GB2312" w:cs="仿宋_GB2312" w:hint="eastAsia"/>
        </w:rPr>
        <w:t>，</w:t>
      </w:r>
      <w:r>
        <w:rPr>
          <w:rFonts w:ascii="仿宋_GB2312" w:hAnsi="仿宋_GB2312" w:cs="仿宋_GB2312" w:hint="eastAsia"/>
        </w:rPr>
        <w:t>不外排；生活污水经化粪池预处理达到《污水综合排放标准》（</w:t>
      </w:r>
      <w:r>
        <w:rPr>
          <w:rFonts w:ascii="仿宋_GB2312" w:hAnsi="仿宋_GB2312" w:cs="仿宋_GB2312" w:hint="eastAsia"/>
        </w:rPr>
        <w:t>GB</w:t>
      </w:r>
      <w:r>
        <w:rPr>
          <w:rFonts w:ascii="仿宋_GB2312" w:hAnsi="仿宋_GB2312" w:cs="仿宋_GB2312" w:hint="eastAsia"/>
        </w:rPr>
        <w:t xml:space="preserve"> </w:t>
      </w:r>
      <w:r>
        <w:rPr>
          <w:rFonts w:ascii="仿宋_GB2312" w:hAnsi="仿宋_GB2312" w:cs="仿宋_GB2312" w:hint="eastAsia"/>
        </w:rPr>
        <w:t>8978-1996</w:t>
      </w:r>
      <w:r>
        <w:rPr>
          <w:rFonts w:ascii="仿宋_GB2312" w:hAnsi="仿宋_GB2312" w:cs="仿宋_GB2312" w:hint="eastAsia"/>
        </w:rPr>
        <w:t>）中</w:t>
      </w:r>
      <w:r>
        <w:rPr>
          <w:rFonts w:ascii="仿宋_GB2312" w:hAnsi="仿宋_GB2312" w:cs="仿宋_GB2312" w:hint="eastAsia"/>
        </w:rPr>
        <w:t>三级标准后，排入</w:t>
      </w:r>
      <w:r>
        <w:rPr>
          <w:rFonts w:ascii="仿宋_GB2312" w:hAnsi="仿宋_GB2312" w:cs="仿宋_GB2312" w:hint="eastAsia"/>
        </w:rPr>
        <w:t>三</w:t>
      </w:r>
      <w:r>
        <w:rPr>
          <w:rFonts w:ascii="仿宋_GB2312" w:hAnsi="仿宋_GB2312" w:cs="仿宋_GB2312" w:hint="eastAsia"/>
        </w:rPr>
        <w:t>团</w:t>
      </w:r>
      <w:r>
        <w:rPr>
          <w:rFonts w:ascii="仿宋_GB2312" w:hAnsi="仿宋_GB2312" w:cs="仿宋_GB2312" w:hint="eastAsia"/>
        </w:rPr>
        <w:t>城镇</w:t>
      </w:r>
      <w:r>
        <w:rPr>
          <w:rFonts w:ascii="仿宋_GB2312" w:hAnsi="仿宋_GB2312" w:cs="仿宋_GB2312" w:hint="eastAsia"/>
        </w:rPr>
        <w:t>污水处理厂进一步处理</w:t>
      </w:r>
      <w:r>
        <w:rPr>
          <w:rFonts w:ascii="仿宋_GB2312" w:hAnsi="仿宋" w:hint="eastAsia"/>
          <w:bCs/>
          <w:color w:val="000000"/>
        </w:rPr>
        <w:t>。</w:t>
      </w:r>
    </w:p>
    <w:p w:rsidR="00902DBF" w:rsidRDefault="00EF16B5" w:rsidP="005B664B">
      <w:pPr>
        <w:adjustRightInd w:val="0"/>
        <w:snapToGrid w:val="0"/>
        <w:spacing w:line="560" w:lineRule="exact"/>
        <w:ind w:firstLineChars="200" w:firstLine="609"/>
        <w:rPr>
          <w:rFonts w:ascii="仿宋_GB2312" w:hAnsi="仿宋_GB2312" w:cs="仿宋_GB2312"/>
        </w:rPr>
      </w:pPr>
      <w:r>
        <w:rPr>
          <w:rFonts w:ascii="仿宋_GB2312" w:hAnsi="仿宋_GB2312" w:cs="仿宋_GB2312" w:hint="eastAsia"/>
        </w:rPr>
        <w:t>（四）严格落实噪声污染防治措施。项目运营期噪声源</w:t>
      </w:r>
      <w:r>
        <w:rPr>
          <w:rFonts w:ascii="仿宋_GB2312" w:hAnsi="仿宋_GB2312" w:cs="仿宋_GB2312" w:hint="eastAsia"/>
        </w:rPr>
        <w:t>主要</w:t>
      </w:r>
      <w:r>
        <w:rPr>
          <w:rFonts w:ascii="仿宋_GB2312" w:hAnsi="仿宋_GB2312" w:cs="仿宋_GB2312" w:hint="eastAsia"/>
        </w:rPr>
        <w:t>为</w:t>
      </w:r>
      <w:r>
        <w:rPr>
          <w:rFonts w:ascii="仿宋_GB2312" w:hAnsi="仿宋" w:hint="eastAsia"/>
          <w:color w:val="000000"/>
        </w:rPr>
        <w:t>锅炉、风机</w:t>
      </w:r>
      <w:r>
        <w:rPr>
          <w:rFonts w:ascii="仿宋_GB2312" w:hAnsi="仿宋" w:hint="eastAsia"/>
          <w:color w:val="000000"/>
        </w:rPr>
        <w:t>、</w:t>
      </w:r>
      <w:r>
        <w:rPr>
          <w:rFonts w:ascii="仿宋_GB2312" w:hAnsi="仿宋" w:hint="eastAsia"/>
          <w:color w:val="000000"/>
        </w:rPr>
        <w:t>锅炉循环水泵等机械</w:t>
      </w:r>
      <w:r>
        <w:rPr>
          <w:rFonts w:ascii="仿宋_GB2312" w:hAnsi="仿宋_GB2312" w:cs="仿宋_GB2312" w:hint="eastAsia"/>
        </w:rPr>
        <w:t>设备。通过选用低噪声设备、合理布局、建筑隔声、加强设备维护保养等降噪措施，确保厂界昼间、夜间噪声值均满足《工业企业厂界环境噪声排放标准》（</w:t>
      </w:r>
      <w:r>
        <w:rPr>
          <w:rFonts w:ascii="仿宋_GB2312" w:hAnsi="仿宋_GB2312" w:cs="仿宋_GB2312" w:hint="eastAsia"/>
        </w:rPr>
        <w:t>GB</w:t>
      </w:r>
      <w:r>
        <w:rPr>
          <w:rFonts w:ascii="仿宋_GB2312" w:hAnsi="仿宋_GB2312" w:cs="仿宋_GB2312" w:hint="eastAsia"/>
        </w:rPr>
        <w:t xml:space="preserve"> </w:t>
      </w:r>
      <w:r>
        <w:rPr>
          <w:rFonts w:ascii="仿宋_GB2312" w:hAnsi="仿宋_GB2312" w:cs="仿宋_GB2312" w:hint="eastAsia"/>
        </w:rPr>
        <w:t>12348-2008</w:t>
      </w:r>
      <w:r>
        <w:rPr>
          <w:rFonts w:ascii="仿宋_GB2312" w:hAnsi="仿宋_GB2312" w:cs="仿宋_GB2312" w:hint="eastAsia"/>
        </w:rPr>
        <w:t>）中</w:t>
      </w:r>
      <w:r>
        <w:rPr>
          <w:rFonts w:ascii="仿宋_GB2312" w:hAnsi="仿宋_GB2312" w:cs="仿宋_GB2312" w:hint="eastAsia"/>
        </w:rPr>
        <w:t>2</w:t>
      </w:r>
      <w:r>
        <w:rPr>
          <w:rFonts w:ascii="仿宋_GB2312" w:hAnsi="仿宋_GB2312" w:cs="仿宋_GB2312" w:hint="eastAsia"/>
        </w:rPr>
        <w:t>类标准</w:t>
      </w:r>
      <w:r>
        <w:rPr>
          <w:rFonts w:ascii="仿宋_GB2312" w:hint="eastAsia"/>
        </w:rPr>
        <w:t>限值</w:t>
      </w:r>
      <w:r>
        <w:rPr>
          <w:rFonts w:ascii="仿宋_GB2312" w:hAnsi="仿宋_GB2312" w:cs="仿宋_GB2312" w:hint="eastAsia"/>
        </w:rPr>
        <w:t>要求。</w:t>
      </w:r>
    </w:p>
    <w:p w:rsidR="00902DBF" w:rsidRDefault="00EF16B5" w:rsidP="005B664B">
      <w:pPr>
        <w:adjustRightInd w:val="0"/>
        <w:spacing w:line="560" w:lineRule="exact"/>
        <w:ind w:firstLineChars="200" w:firstLine="609"/>
        <w:rPr>
          <w:rFonts w:ascii="仿宋_GB2312" w:hAnsi="仿宋_GB2312" w:cs="仿宋_GB2312"/>
        </w:rPr>
      </w:pPr>
      <w:r>
        <w:rPr>
          <w:rFonts w:ascii="仿宋_GB2312" w:hAnsi="仿宋_GB2312" w:cs="仿宋_GB2312" w:hint="eastAsia"/>
        </w:rPr>
        <w:t>（五）严格落实固体废物分类处置措施。项目运营期固体废物主要为燃煤炉渣、除尘收集的粉煤灰、脱硫石膏、废树脂</w:t>
      </w:r>
      <w:r>
        <w:rPr>
          <w:rFonts w:ascii="仿宋_GB2312" w:hAnsi="仿宋_GB2312" w:cs="仿宋_GB2312" w:hint="eastAsia"/>
        </w:rPr>
        <w:t>、</w:t>
      </w:r>
      <w:r>
        <w:rPr>
          <w:rFonts w:ascii="仿宋_GB2312" w:hAnsi="仿宋_GB2312" w:cs="仿宋_GB2312" w:hint="eastAsia"/>
        </w:rPr>
        <w:t>废包装、废弃滤袋</w:t>
      </w:r>
      <w:r>
        <w:rPr>
          <w:rFonts w:ascii="仿宋_GB2312" w:hAnsi="仿宋_GB2312" w:cs="仿宋_GB2312" w:hint="eastAsia"/>
        </w:rPr>
        <w:t>、</w:t>
      </w:r>
      <w:r>
        <w:rPr>
          <w:rFonts w:ascii="仿宋_GB2312" w:hAnsi="仿宋_GB2312" w:cs="仿宋_GB2312" w:hint="eastAsia"/>
        </w:rPr>
        <w:t>废抹布、</w:t>
      </w:r>
      <w:r>
        <w:rPr>
          <w:rFonts w:ascii="仿宋_GB2312" w:hAnsi="仿宋_GB2312" w:cs="仿宋_GB2312" w:hint="eastAsia"/>
        </w:rPr>
        <w:t>废</w:t>
      </w:r>
      <w:r>
        <w:rPr>
          <w:rFonts w:ascii="仿宋_GB2312" w:hAnsi="仿宋_GB2312" w:cs="仿宋_GB2312" w:hint="eastAsia"/>
        </w:rPr>
        <w:t>手套</w:t>
      </w:r>
      <w:r>
        <w:rPr>
          <w:rFonts w:ascii="仿宋_GB2312" w:hAnsi="仿宋_GB2312" w:cs="仿宋_GB2312" w:hint="eastAsia"/>
        </w:rPr>
        <w:t>和</w:t>
      </w:r>
      <w:r>
        <w:rPr>
          <w:rFonts w:ascii="仿宋_GB2312" w:hAnsi="仿宋_GB2312" w:cs="仿宋_GB2312" w:hint="eastAsia"/>
        </w:rPr>
        <w:t>生活垃圾。燃煤炉渣、粉煤灰和脱硫石膏外售做建筑材料；废树脂由厂家回收；</w:t>
      </w:r>
      <w:r>
        <w:rPr>
          <w:rFonts w:ascii="仿宋_GB2312" w:hint="eastAsia"/>
          <w:color w:val="000000"/>
        </w:rPr>
        <w:t>废包装收集后外售；</w:t>
      </w:r>
      <w:r>
        <w:rPr>
          <w:rFonts w:ascii="仿宋_GB2312" w:hAnsi="仿宋_GB2312" w:cs="仿宋_GB2312" w:hint="eastAsia"/>
        </w:rPr>
        <w:t>废</w:t>
      </w:r>
      <w:r>
        <w:rPr>
          <w:rFonts w:ascii="仿宋_GB2312" w:hAnsi="仿宋_GB2312" w:cs="仿宋_GB2312" w:hint="eastAsia"/>
        </w:rPr>
        <w:lastRenderedPageBreak/>
        <w:t>弃</w:t>
      </w:r>
      <w:r>
        <w:rPr>
          <w:rFonts w:ascii="仿宋_GB2312" w:hAnsi="仿宋_GB2312" w:cs="仿宋_GB2312" w:hint="eastAsia"/>
        </w:rPr>
        <w:t>滤袋、废抹布</w:t>
      </w:r>
      <w:r>
        <w:rPr>
          <w:rFonts w:ascii="仿宋_GB2312" w:hAnsi="仿宋_GB2312" w:cs="仿宋_GB2312" w:hint="eastAsia"/>
        </w:rPr>
        <w:t>、</w:t>
      </w:r>
      <w:r>
        <w:rPr>
          <w:rFonts w:ascii="仿宋_GB2312" w:hAnsi="仿宋_GB2312" w:cs="仿宋_GB2312" w:hint="eastAsia"/>
        </w:rPr>
        <w:t>废</w:t>
      </w:r>
      <w:r>
        <w:rPr>
          <w:rFonts w:ascii="仿宋_GB2312" w:hAnsi="仿宋_GB2312" w:cs="仿宋_GB2312" w:hint="eastAsia"/>
        </w:rPr>
        <w:t>手套</w:t>
      </w:r>
      <w:r>
        <w:rPr>
          <w:rFonts w:ascii="仿宋_GB2312" w:hAnsi="仿宋_GB2312" w:cs="仿宋_GB2312" w:hint="eastAsia"/>
        </w:rPr>
        <w:t>和</w:t>
      </w:r>
      <w:r>
        <w:rPr>
          <w:rFonts w:ascii="仿宋_GB2312" w:hAnsi="仿宋_GB2312" w:cs="仿宋_GB2312" w:hint="eastAsia"/>
        </w:rPr>
        <w:t>生活垃圾统一收集后由环卫部门清运至</w:t>
      </w:r>
      <w:r>
        <w:rPr>
          <w:rFonts w:ascii="仿宋_GB2312" w:hAnsi="仿宋_GB2312" w:cs="仿宋_GB2312" w:hint="eastAsia"/>
        </w:rPr>
        <w:t>三</w:t>
      </w:r>
      <w:r>
        <w:rPr>
          <w:rFonts w:ascii="仿宋_GB2312" w:hAnsi="仿宋_GB2312" w:cs="仿宋_GB2312" w:hint="eastAsia"/>
        </w:rPr>
        <w:t>团生活垃圾填埋场。</w:t>
      </w:r>
    </w:p>
    <w:p w:rsidR="00902DBF" w:rsidRDefault="00EF16B5" w:rsidP="005B664B">
      <w:pPr>
        <w:adjustRightInd w:val="0"/>
        <w:snapToGrid w:val="0"/>
        <w:spacing w:line="560" w:lineRule="exact"/>
        <w:ind w:firstLineChars="200" w:firstLine="609"/>
        <w:rPr>
          <w:rFonts w:ascii="仿宋_GB2312" w:hAnsi="仿宋_GB2312" w:cs="仿宋_GB2312"/>
        </w:rPr>
      </w:pPr>
      <w:r>
        <w:rPr>
          <w:rFonts w:ascii="仿宋_GB2312" w:hAnsi="仿宋_GB2312" w:cs="仿宋_GB2312" w:hint="eastAsia"/>
        </w:rPr>
        <w:t>（六）该项目运营期加强管理，加强设备运行维护。加强项目环境风险防范。建立严格的环境风险管理制度，认真落实报告表提出的各项风险防范措施；制定相关应急预案，编制《突发环境事件应急预案》报环保主管部门备案，确保不发生环境污染事故；做好和地方环境应急预案的衔接，定期开展突发环境事件应急演练，及时对环境应急预案进行完善。</w:t>
      </w:r>
    </w:p>
    <w:p w:rsidR="00902DBF" w:rsidRDefault="00EF16B5" w:rsidP="005B664B">
      <w:pPr>
        <w:adjustRightInd w:val="0"/>
        <w:snapToGrid w:val="0"/>
        <w:spacing w:line="560" w:lineRule="exact"/>
        <w:ind w:firstLineChars="200" w:firstLine="609"/>
        <w:rPr>
          <w:rFonts w:ascii="仿宋_GB2312" w:hAnsi="仿宋_GB2312" w:cs="仿宋_GB2312"/>
        </w:rPr>
      </w:pPr>
      <w:r>
        <w:rPr>
          <w:rFonts w:ascii="仿宋_GB2312" w:hAnsi="仿宋_GB2312" w:cs="仿宋_GB2312" w:hint="eastAsia"/>
        </w:rPr>
        <w:t>四、你单位须严格执行环保“三</w:t>
      </w:r>
      <w:r>
        <w:rPr>
          <w:rFonts w:ascii="仿宋_GB2312" w:hAnsi="仿宋_GB2312" w:cs="仿宋_GB2312" w:hint="eastAsia"/>
        </w:rPr>
        <w:t>同时”制度，建设项目竣工后，建设单位应当按照国务院环境保护行政主管部门规定的标准和程序，对配套建设的环境保护设施进行验收，编制验收报告，验收报告编制完成后</w:t>
      </w:r>
      <w:r>
        <w:rPr>
          <w:rFonts w:ascii="仿宋_GB2312" w:hAnsi="仿宋_GB2312" w:cs="仿宋_GB2312" w:hint="eastAsia"/>
        </w:rPr>
        <w:t>5</w:t>
      </w:r>
      <w:r>
        <w:rPr>
          <w:rFonts w:ascii="仿宋_GB2312" w:hAnsi="仿宋_GB2312" w:cs="仿宋_GB2312" w:hint="eastAsia"/>
        </w:rPr>
        <w:t>个工作日内在相关网站进行公开，公示期限不得少于</w:t>
      </w:r>
      <w:r>
        <w:rPr>
          <w:rFonts w:ascii="仿宋_GB2312" w:hAnsi="仿宋_GB2312" w:cs="仿宋_GB2312" w:hint="eastAsia"/>
        </w:rPr>
        <w:t>20</w:t>
      </w:r>
      <w:r>
        <w:rPr>
          <w:rFonts w:ascii="仿宋_GB2312" w:hAnsi="仿宋_GB2312" w:cs="仿宋_GB2312" w:hint="eastAsia"/>
        </w:rPr>
        <w:t>个工作日，并向我局报送相关信息；验收报告公示期满后</w:t>
      </w:r>
      <w:r>
        <w:rPr>
          <w:rFonts w:ascii="仿宋_GB2312" w:hAnsi="仿宋_GB2312" w:cs="仿宋_GB2312" w:hint="eastAsia"/>
        </w:rPr>
        <w:t>5</w:t>
      </w:r>
      <w:r>
        <w:rPr>
          <w:rFonts w:ascii="仿宋_GB2312" w:hAnsi="仿宋_GB2312" w:cs="仿宋_GB2312" w:hint="eastAsia"/>
        </w:rPr>
        <w:t>个工作日内，建设单位应当登录“全国建设项目竣工环境保护验收信息平台”（网址为</w:t>
      </w:r>
      <w:r>
        <w:rPr>
          <w:rFonts w:ascii="仿宋_GB2312" w:hAnsi="仿宋_GB2312" w:cs="仿宋_GB2312" w:hint="eastAsia"/>
        </w:rPr>
        <w:t>http://114.251.10.205</w:t>
      </w:r>
      <w:r>
        <w:rPr>
          <w:rFonts w:ascii="仿宋_GB2312" w:hAnsi="仿宋_GB2312" w:cs="仿宋_GB2312" w:hint="eastAsia"/>
        </w:rPr>
        <w:t>），填报建设项目基本信息、环境保护设施验收情况等相关信息。</w:t>
      </w:r>
    </w:p>
    <w:p w:rsidR="00902DBF" w:rsidRDefault="00EF16B5" w:rsidP="005B664B">
      <w:pPr>
        <w:adjustRightInd w:val="0"/>
        <w:snapToGrid w:val="0"/>
        <w:spacing w:line="560" w:lineRule="exact"/>
        <w:ind w:firstLineChars="200" w:firstLine="609"/>
        <w:rPr>
          <w:rFonts w:ascii="仿宋_GB2312" w:hAnsi="仿宋_GB2312" w:cs="仿宋_GB2312"/>
        </w:rPr>
      </w:pPr>
      <w:r>
        <w:rPr>
          <w:rFonts w:ascii="仿宋_GB2312" w:hAnsi="仿宋_GB2312" w:cs="仿宋_GB2312" w:hint="eastAsia"/>
        </w:rPr>
        <w:t>五、你单位须严格按照《排污许可证管理暂行规定》要求，在投入生产或使用并产生实</w:t>
      </w:r>
      <w:r>
        <w:rPr>
          <w:rFonts w:ascii="仿宋_GB2312" w:hAnsi="仿宋_GB2312" w:cs="仿宋_GB2312" w:hint="eastAsia"/>
        </w:rPr>
        <w:t>际排污行为之前申请领取排污许可证或进行排污登记。</w:t>
      </w:r>
    </w:p>
    <w:p w:rsidR="00902DBF" w:rsidRDefault="00EF16B5" w:rsidP="005B664B">
      <w:pPr>
        <w:adjustRightInd w:val="0"/>
        <w:snapToGrid w:val="0"/>
        <w:spacing w:line="560" w:lineRule="exact"/>
        <w:ind w:firstLineChars="200" w:firstLine="609"/>
        <w:rPr>
          <w:rFonts w:ascii="仿宋_GB2312" w:hAnsi="仿宋_GB2312" w:cs="仿宋_GB2312"/>
        </w:rPr>
      </w:pPr>
      <w:r>
        <w:rPr>
          <w:rFonts w:ascii="仿宋_GB2312" w:hAnsi="仿宋_GB2312" w:cs="仿宋_GB2312" w:hint="eastAsia"/>
        </w:rPr>
        <w:t>六、根据《中华人民共和国环境影响评价法》等相关环保法律法规的规定，若项目性质、规模、地点、采用的防治污染、防止生</w:t>
      </w:r>
      <w:r>
        <w:rPr>
          <w:rFonts w:ascii="仿宋_GB2312" w:hAnsi="仿宋_GB2312" w:cs="仿宋_GB2312" w:hint="eastAsia"/>
        </w:rPr>
        <w:lastRenderedPageBreak/>
        <w:t>态破坏的措施等发生重大变化的，应依法重新报批环评文件。自批准之日起</w:t>
      </w:r>
      <w:r>
        <w:rPr>
          <w:rFonts w:ascii="仿宋_GB2312" w:hAnsi="仿宋_GB2312" w:cs="仿宋_GB2312" w:hint="eastAsia"/>
        </w:rPr>
        <w:t>5</w:t>
      </w:r>
      <w:r>
        <w:rPr>
          <w:rFonts w:ascii="仿宋_GB2312" w:hAnsi="仿宋_GB2312" w:cs="仿宋_GB2312" w:hint="eastAsia"/>
        </w:rPr>
        <w:t>年内未开工建设的，其环评文件应当报我局重新审核。在项目建设、运行过程中产生不符合经审批的环评文件情形的，应依法重新办理相关环保手续。</w:t>
      </w:r>
    </w:p>
    <w:p w:rsidR="00902DBF" w:rsidRDefault="00EF16B5" w:rsidP="005B664B">
      <w:pPr>
        <w:adjustRightInd w:val="0"/>
        <w:snapToGrid w:val="0"/>
        <w:spacing w:line="560" w:lineRule="exact"/>
        <w:ind w:firstLineChars="200" w:firstLine="609"/>
        <w:rPr>
          <w:rFonts w:ascii="仿宋_GB2312" w:hAnsi="仿宋_GB2312" w:cs="仿宋_GB2312"/>
        </w:rPr>
      </w:pPr>
      <w:r>
        <w:rPr>
          <w:rFonts w:ascii="仿宋_GB2312" w:hAnsi="仿宋_GB2312" w:cs="仿宋_GB2312" w:hint="eastAsia"/>
        </w:rPr>
        <w:t>七、</w:t>
      </w:r>
      <w:r>
        <w:rPr>
          <w:rFonts w:ascii="仿宋_GB2312" w:hAnsi="仿宋_GB2312" w:cs="仿宋_GB2312" w:hint="eastAsia"/>
        </w:rPr>
        <w:t>三</w:t>
      </w:r>
      <w:r>
        <w:rPr>
          <w:rFonts w:ascii="仿宋_GB2312" w:hAnsi="仿宋_GB2312" w:cs="仿宋_GB2312" w:hint="eastAsia"/>
        </w:rPr>
        <w:t>团</w:t>
      </w:r>
      <w:r w:rsidR="009858DD">
        <w:rPr>
          <w:rFonts w:ascii="仿宋_GB2312" w:hAnsi="仿宋_GB2312" w:cs="仿宋_GB2312" w:hint="eastAsia"/>
        </w:rPr>
        <w:t>需</w:t>
      </w:r>
      <w:r>
        <w:rPr>
          <w:rFonts w:ascii="仿宋_GB2312" w:hAnsi="仿宋_GB2312" w:cs="仿宋_GB2312" w:hint="eastAsia"/>
        </w:rPr>
        <w:t>按照《关于印发</w:t>
      </w:r>
      <w:r>
        <w:rPr>
          <w:rFonts w:ascii="仿宋_GB2312" w:hAnsi="仿宋_GB2312" w:cs="仿宋_GB2312" w:hint="eastAsia"/>
        </w:rPr>
        <w:t>&lt;</w:t>
      </w:r>
      <w:r>
        <w:rPr>
          <w:rFonts w:ascii="仿宋_GB2312" w:hAnsi="仿宋_GB2312" w:cs="仿宋_GB2312" w:hint="eastAsia"/>
        </w:rPr>
        <w:t>第一师阿拉尔市生态环境保护工作职责暂行规定（试行）</w:t>
      </w:r>
      <w:r>
        <w:rPr>
          <w:rFonts w:ascii="仿宋_GB2312" w:hAnsi="仿宋_GB2312" w:cs="仿宋_GB2312" w:hint="eastAsia"/>
        </w:rPr>
        <w:t>&gt;</w:t>
      </w:r>
      <w:r>
        <w:rPr>
          <w:rFonts w:ascii="仿宋_GB2312" w:hAnsi="仿宋_GB2312" w:cs="仿宋_GB2312" w:hint="eastAsia"/>
        </w:rPr>
        <w:t>的通知》（师市环委办发〔</w:t>
      </w:r>
      <w:r>
        <w:rPr>
          <w:rFonts w:ascii="仿宋_GB2312" w:hAnsi="仿宋_GB2312" w:cs="仿宋_GB2312" w:hint="eastAsia"/>
        </w:rPr>
        <w:t>2020</w:t>
      </w:r>
      <w:r>
        <w:rPr>
          <w:rFonts w:ascii="仿宋_GB2312" w:hAnsi="仿宋_GB2312" w:cs="仿宋_GB2312" w:hint="eastAsia"/>
        </w:rPr>
        <w:t>〕</w:t>
      </w:r>
      <w:r>
        <w:rPr>
          <w:rFonts w:ascii="仿宋_GB2312" w:hAnsi="仿宋_GB2312" w:cs="仿宋_GB2312" w:hint="eastAsia"/>
        </w:rPr>
        <w:t>1</w:t>
      </w:r>
      <w:r>
        <w:rPr>
          <w:rFonts w:ascii="仿宋_GB2312" w:hAnsi="仿宋_GB2312" w:cs="仿宋_GB2312" w:hint="eastAsia"/>
        </w:rPr>
        <w:t>号）要求，做好该项目环境保护管理工作，师市生态环境保护综合行政执法支队做好该项目的抽查日常监督管理工作。</w:t>
      </w:r>
    </w:p>
    <w:p w:rsidR="00902DBF" w:rsidRDefault="00902DBF" w:rsidP="005B664B">
      <w:pPr>
        <w:adjustRightInd w:val="0"/>
        <w:snapToGrid w:val="0"/>
        <w:spacing w:line="560" w:lineRule="exact"/>
        <w:ind w:firstLineChars="1300" w:firstLine="3956"/>
        <w:rPr>
          <w:rFonts w:ascii="仿宋_GB2312" w:hAnsi="仿宋_GB2312" w:cs="仿宋_GB2312"/>
          <w:kern w:val="0"/>
        </w:rPr>
      </w:pPr>
    </w:p>
    <w:p w:rsidR="00902DBF" w:rsidRDefault="00902DBF" w:rsidP="005B664B">
      <w:pPr>
        <w:pStyle w:val="a0"/>
        <w:spacing w:line="560" w:lineRule="exact"/>
      </w:pPr>
    </w:p>
    <w:p w:rsidR="00902DBF" w:rsidRDefault="00902DBF" w:rsidP="005B664B">
      <w:pPr>
        <w:pStyle w:val="2"/>
        <w:spacing w:line="560" w:lineRule="exact"/>
        <w:rPr>
          <w:rFonts w:ascii="仿宋_GB2312" w:eastAsia="仿宋_GB2312" w:hAnsi="仿宋_GB2312" w:cs="仿宋_GB2312"/>
          <w:b w:val="0"/>
          <w:bCs w:val="0"/>
        </w:rPr>
      </w:pPr>
    </w:p>
    <w:p w:rsidR="00902DBF" w:rsidRDefault="00EF16B5" w:rsidP="005B664B">
      <w:pPr>
        <w:adjustRightInd w:val="0"/>
        <w:snapToGrid w:val="0"/>
        <w:spacing w:line="560" w:lineRule="exact"/>
        <w:ind w:firstLineChars="1606" w:firstLine="4887"/>
        <w:rPr>
          <w:rFonts w:ascii="仿宋_GB2312" w:hAnsi="仿宋_GB2312" w:cs="仿宋_GB2312"/>
          <w:kern w:val="0"/>
        </w:rPr>
      </w:pPr>
      <w:r>
        <w:rPr>
          <w:rFonts w:ascii="仿宋_GB2312" w:hAnsi="仿宋_GB2312" w:cs="仿宋_GB2312" w:hint="eastAsia"/>
          <w:kern w:val="0"/>
        </w:rPr>
        <w:t>第一师阿拉尔市生态环境局</w:t>
      </w:r>
    </w:p>
    <w:p w:rsidR="00902DBF" w:rsidRDefault="00EF16B5" w:rsidP="005B664B">
      <w:pPr>
        <w:widowControl/>
        <w:adjustRightInd w:val="0"/>
        <w:snapToGrid w:val="0"/>
        <w:spacing w:line="560" w:lineRule="exact"/>
        <w:ind w:right="608"/>
        <w:rPr>
          <w:rFonts w:ascii="仿宋_GB2312" w:hAnsi="仿宋_GB2312" w:cs="仿宋_GB2312"/>
          <w:kern w:val="0"/>
        </w:rPr>
      </w:pPr>
      <w:r>
        <w:rPr>
          <w:rFonts w:ascii="仿宋_GB2312" w:hAnsi="仿宋_GB2312" w:cs="仿宋_GB2312" w:hint="eastAsia"/>
          <w:kern w:val="0"/>
        </w:rPr>
        <w:t xml:space="preserve">                                     202</w:t>
      </w:r>
      <w:r>
        <w:rPr>
          <w:rFonts w:ascii="仿宋_GB2312" w:hAnsi="仿宋_GB2312" w:cs="仿宋_GB2312" w:hint="eastAsia"/>
          <w:kern w:val="0"/>
        </w:rPr>
        <w:t>2</w:t>
      </w:r>
      <w:r>
        <w:rPr>
          <w:rFonts w:ascii="仿宋_GB2312" w:hAnsi="仿宋_GB2312" w:cs="仿宋_GB2312" w:hint="eastAsia"/>
          <w:kern w:val="0"/>
        </w:rPr>
        <w:t>年</w:t>
      </w:r>
      <w:r>
        <w:rPr>
          <w:rFonts w:ascii="仿宋_GB2312" w:hAnsi="仿宋_GB2312" w:cs="仿宋_GB2312" w:hint="eastAsia"/>
          <w:kern w:val="0"/>
        </w:rPr>
        <w:t>2</w:t>
      </w:r>
      <w:r>
        <w:rPr>
          <w:rFonts w:ascii="仿宋_GB2312" w:hAnsi="仿宋_GB2312" w:cs="仿宋_GB2312" w:hint="eastAsia"/>
          <w:kern w:val="0"/>
        </w:rPr>
        <w:t>月</w:t>
      </w:r>
      <w:r w:rsidR="009858DD">
        <w:rPr>
          <w:rFonts w:ascii="仿宋_GB2312" w:hAnsi="仿宋_GB2312" w:cs="仿宋_GB2312" w:hint="eastAsia"/>
          <w:kern w:val="0"/>
        </w:rPr>
        <w:t>16</w:t>
      </w:r>
      <w:r>
        <w:rPr>
          <w:rFonts w:ascii="仿宋_GB2312" w:hAnsi="仿宋_GB2312" w:cs="仿宋_GB2312" w:hint="eastAsia"/>
          <w:kern w:val="0"/>
        </w:rPr>
        <w:t>日</w:t>
      </w:r>
    </w:p>
    <w:p w:rsidR="00902DBF" w:rsidRDefault="00902DBF">
      <w:pPr>
        <w:pStyle w:val="2"/>
        <w:spacing w:line="240" w:lineRule="exact"/>
        <w:rPr>
          <w:rFonts w:ascii="仿宋_GB2312" w:eastAsia="仿宋_GB2312" w:hAnsi="仿宋_GB2312" w:cs="仿宋_GB2312"/>
          <w:sz w:val="10"/>
          <w:szCs w:val="10"/>
        </w:rPr>
      </w:pPr>
    </w:p>
    <w:p w:rsidR="00902DBF" w:rsidRDefault="00902DBF">
      <w:pPr>
        <w:rPr>
          <w:rFonts w:ascii="仿宋_GB2312" w:hAnsi="仿宋_GB2312" w:cs="仿宋_GB2312"/>
          <w:sz w:val="10"/>
          <w:szCs w:val="10"/>
        </w:rPr>
      </w:pPr>
    </w:p>
    <w:p w:rsidR="00902DBF" w:rsidRDefault="00902DBF">
      <w:pPr>
        <w:spacing w:line="240" w:lineRule="exact"/>
        <w:rPr>
          <w:rFonts w:ascii="仿宋_GB2312" w:hAnsi="仿宋_GB2312" w:cs="仿宋_GB2312"/>
          <w:sz w:val="10"/>
          <w:szCs w:val="10"/>
        </w:rPr>
      </w:pPr>
    </w:p>
    <w:p w:rsidR="00902DBF" w:rsidRDefault="00902DBF">
      <w:pPr>
        <w:pStyle w:val="2"/>
        <w:spacing w:line="560" w:lineRule="exact"/>
        <w:rPr>
          <w:rFonts w:ascii="仿宋_GB2312" w:eastAsia="仿宋_GB2312" w:hAnsi="仿宋_GB2312" w:cs="仿宋_GB2312"/>
          <w:b w:val="0"/>
          <w:bCs w:val="0"/>
        </w:rPr>
      </w:pPr>
    </w:p>
    <w:p w:rsidR="00902DBF" w:rsidRDefault="00902DBF">
      <w:pPr>
        <w:spacing w:line="560" w:lineRule="exact"/>
        <w:rPr>
          <w:rFonts w:ascii="仿宋_GB2312" w:hAnsi="仿宋_GB2312" w:cs="仿宋_GB2312"/>
        </w:rPr>
      </w:pPr>
    </w:p>
    <w:p w:rsidR="00902DBF" w:rsidRDefault="00902DBF">
      <w:pPr>
        <w:pStyle w:val="2"/>
        <w:rPr>
          <w:rFonts w:ascii="仿宋_GB2312" w:eastAsia="仿宋_GB2312" w:hAnsi="仿宋_GB2312" w:cs="仿宋_GB2312"/>
        </w:rPr>
      </w:pPr>
    </w:p>
    <w:p w:rsidR="00902DBF" w:rsidRDefault="00902DBF">
      <w:pPr>
        <w:rPr>
          <w:rFonts w:ascii="仿宋_GB2312" w:hAnsi="仿宋_GB2312" w:cs="仿宋_GB2312"/>
        </w:rPr>
      </w:pPr>
    </w:p>
    <w:p w:rsidR="00902DBF" w:rsidRDefault="00902DBF">
      <w:pPr>
        <w:pStyle w:val="2"/>
        <w:rPr>
          <w:rFonts w:ascii="仿宋_GB2312" w:eastAsia="仿宋_GB2312" w:hAnsi="仿宋_GB2312" w:cs="仿宋_GB2312"/>
        </w:rPr>
      </w:pPr>
    </w:p>
    <w:p w:rsidR="00902DBF" w:rsidRDefault="00902DBF">
      <w:pPr>
        <w:rPr>
          <w:rFonts w:ascii="仿宋_GB2312" w:hAnsi="仿宋_GB2312" w:cs="仿宋_GB2312"/>
        </w:rPr>
      </w:pPr>
    </w:p>
    <w:p w:rsidR="00902DBF" w:rsidRDefault="00902DBF">
      <w:pPr>
        <w:pStyle w:val="2"/>
        <w:rPr>
          <w:rFonts w:ascii="仿宋_GB2312" w:eastAsia="仿宋_GB2312" w:hAnsi="仿宋_GB2312" w:cs="仿宋_GB2312"/>
        </w:rPr>
      </w:pPr>
    </w:p>
    <w:p w:rsidR="00902DBF" w:rsidRDefault="00902DBF">
      <w:pPr>
        <w:rPr>
          <w:rFonts w:ascii="仿宋_GB2312" w:hAnsi="仿宋_GB2312" w:cs="仿宋_GB2312"/>
        </w:rPr>
      </w:pPr>
    </w:p>
    <w:p w:rsidR="00902DBF" w:rsidRDefault="00902DBF">
      <w:pPr>
        <w:pStyle w:val="2"/>
        <w:rPr>
          <w:rFonts w:ascii="仿宋_GB2312" w:eastAsia="仿宋_GB2312" w:hAnsi="仿宋_GB2312" w:cs="仿宋_GB2312"/>
        </w:rPr>
      </w:pPr>
    </w:p>
    <w:p w:rsidR="00902DBF" w:rsidRDefault="00902DBF">
      <w:pPr>
        <w:rPr>
          <w:rFonts w:ascii="仿宋_GB2312" w:hAnsi="仿宋_GB2312" w:cs="仿宋_GB2312"/>
        </w:rPr>
      </w:pPr>
    </w:p>
    <w:p w:rsidR="00902DBF" w:rsidRDefault="00902DBF">
      <w:pPr>
        <w:pStyle w:val="2"/>
        <w:rPr>
          <w:rFonts w:ascii="仿宋_GB2312" w:eastAsia="仿宋_GB2312" w:hAnsi="仿宋_GB2312" w:cs="仿宋_GB2312"/>
        </w:rPr>
      </w:pPr>
    </w:p>
    <w:p w:rsidR="00902DBF" w:rsidRDefault="00902DBF">
      <w:pPr>
        <w:rPr>
          <w:rFonts w:ascii="仿宋_GB2312" w:hAnsi="仿宋_GB2312" w:cs="仿宋_GB2312"/>
        </w:rPr>
      </w:pPr>
    </w:p>
    <w:p w:rsidR="00902DBF" w:rsidRDefault="00902DBF">
      <w:pPr>
        <w:pStyle w:val="2"/>
        <w:rPr>
          <w:rFonts w:ascii="仿宋_GB2312" w:eastAsia="仿宋_GB2312" w:hAnsi="仿宋_GB2312" w:cs="仿宋_GB2312"/>
        </w:rPr>
      </w:pPr>
    </w:p>
    <w:p w:rsidR="00902DBF" w:rsidRDefault="00902DBF">
      <w:pPr>
        <w:pStyle w:val="2"/>
      </w:pPr>
    </w:p>
    <w:p w:rsidR="00902DBF" w:rsidRDefault="00902DBF"/>
    <w:p w:rsidR="00902DBF" w:rsidRDefault="00902DBF">
      <w:pPr>
        <w:pStyle w:val="a0"/>
      </w:pPr>
    </w:p>
    <w:p w:rsidR="00902DBF" w:rsidRDefault="00902DBF">
      <w:pPr>
        <w:pStyle w:val="a0"/>
      </w:pPr>
    </w:p>
    <w:p w:rsidR="00902DBF" w:rsidRPr="005B664B" w:rsidRDefault="00902DBF">
      <w:pPr>
        <w:topLinePunct/>
        <w:adjustRightInd w:val="0"/>
        <w:snapToGrid w:val="0"/>
        <w:spacing w:line="480" w:lineRule="exact"/>
        <w:rPr>
          <w:rFonts w:ascii="仿宋_GB2312" w:hAnsi="仿宋_GB2312" w:cs="仿宋_GB2312" w:hint="eastAsia"/>
          <w:sz w:val="28"/>
          <w:szCs w:val="28"/>
        </w:rPr>
      </w:pPr>
      <w:r w:rsidRPr="005B664B">
        <w:rPr>
          <w:rFonts w:ascii="仿宋_GB2312" w:hAnsi="仿宋_GB2312" w:cs="仿宋_GB2312" w:hint="eastAsia"/>
          <w:sz w:val="28"/>
          <w:szCs w:val="28"/>
        </w:rPr>
        <w:pict>
          <v:line id="直线 4" o:spid="_x0000_s1029" style="position:absolute;left:0;text-align:left;z-index:251660288" from="-2.3pt,.3pt" to="454.6pt,.3pt" o:gfxdata="UEsDBAoAAAAAAIdO4kAAAAAAAAAAAAAAAAAEAAAAZHJzL1BLAwQUAAAACACHTuJAZNYUg9IAAAAE&#10;AQAADwAAAGRycy9kb3ducmV2LnhtbE2OwU7DMBBE70j8g7VI3Fq7VamSEKcSlbj0RqiA4zY2SYS9&#10;jmI3bf6e7QkuK41m9PaVu6t3YrJj7ANpWC0VCEtNMD21Go7vr4sMRExIBl0gq2G2EXbV/V2JhQkX&#10;erNTnVrBEIoFauhSGgopY9NZj3EZBkvcfYfRY+I4ttKMeGG4d3Kt1FZ67Ik/dDjYfWebn/rsmfL0&#10;mb0cMDvOs6u/8s3+4zCR1/rxYaWeQSR7TX9juOmzOlTsdApnMlE4DYvNlpca+HKbq3wN4nSLsirl&#10;f/nqF1BLAwQUAAAACACHTuJA+SdN0egBAADcAwAADgAAAGRycy9lMm9Eb2MueG1srVPNjtMwEL4j&#10;8Q6W7zRpYVdL1HQPW5YLgkosDzC1ncSS/+Rxm/ZZeA1OXHicfQ3GTrcLy6UHcnDGnvE3830zXt4e&#10;rGF7FVF71/L5rOZMOeGldn3Lvz3cv7nhDBM4CcY71fKjQn67ev1qOYZGLfzgjVSREYjDZgwtH1IK&#10;TVWhGJQFnPmgHDk7Hy0k2sa+khFGQremWtT1dTX6KEP0QiHS6Xpy8hNivATQd50Wau3FziqXJtSo&#10;DCSihIMOyFel2q5TIn3pOlSJmZYT01RWSkL2Nq/VaglNHyEMWpxKgEtKeMHJgnaU9Ay1hgRsF/U/&#10;UFaL6NF3aSa8rSYiRRFiMa9faPN1gKAKF5Iaw1l0/H+w4vN+E5mWLV9w5sBSwx+//3j8+Yu9y9qM&#10;ARsKuXObeNph2MRM9NBFm/9EgR2KnseznuqQmKDDq5t6cf2WpBZPvur5YoiYPipvWTZabrTLVKGB&#10;/SdMlIxCn0LysXFspHF9X19lPKDB66jhZNpAxaPry2X0Rst7bUy+grHf3pnI9pCbX77MiYD/CstZ&#10;1oDDFFdc01gMCuQHJ1k6BpLF0WvguQarJGdG0ePJFgFCk0CbSyIptXFUQZZ1EjJbWy+P1IRdiLof&#10;SIp5qTJ7qOml3tOA5qn6c1+Qnh/l6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k1hSD0gAAAAQB&#10;AAAPAAAAAAAAAAEAIAAAACIAAABkcnMvZG93bnJldi54bWxQSwECFAAUAAAACACHTuJA+SdN0egB&#10;AADcAwAADgAAAAAAAAABACAAAAAhAQAAZHJzL2Uyb0RvYy54bWxQSwUGAAAAAAYABgBZAQAAewUA&#10;AAAA&#10;" strokeweight="1.5pt"/>
        </w:pict>
      </w:r>
      <w:r w:rsidR="00EF16B5" w:rsidRPr="005B664B">
        <w:rPr>
          <w:rFonts w:ascii="仿宋_GB2312" w:hAnsi="仿宋_GB2312" w:cs="仿宋_GB2312" w:hint="eastAsia"/>
          <w:sz w:val="28"/>
          <w:szCs w:val="28"/>
        </w:rPr>
        <w:t>抄送：师市相关领导，发改委、自然资源和规划局、</w:t>
      </w:r>
      <w:r w:rsidR="00EF16B5" w:rsidRPr="005B664B">
        <w:rPr>
          <w:rFonts w:ascii="仿宋_GB2312" w:hAnsi="仿宋_GB2312" w:cs="仿宋_GB2312" w:hint="eastAsia"/>
          <w:sz w:val="28"/>
          <w:szCs w:val="28"/>
        </w:rPr>
        <w:t>三</w:t>
      </w:r>
      <w:r w:rsidR="00EF16B5" w:rsidRPr="005B664B">
        <w:rPr>
          <w:rFonts w:ascii="仿宋_GB2312" w:hAnsi="仿宋_GB2312" w:cs="仿宋_GB2312" w:hint="eastAsia"/>
          <w:sz w:val="28"/>
          <w:szCs w:val="28"/>
        </w:rPr>
        <w:t>团</w:t>
      </w:r>
      <w:r w:rsidR="00EF16B5" w:rsidRPr="005B664B">
        <w:rPr>
          <w:rFonts w:ascii="仿宋_GB2312" w:hAnsi="仿宋_GB2312" w:cs="仿宋_GB2312" w:hint="eastAsia"/>
          <w:sz w:val="28"/>
          <w:szCs w:val="28"/>
        </w:rPr>
        <w:t>、生态环境保护综合行政执法支队</w:t>
      </w:r>
      <w:r w:rsidR="00EF16B5" w:rsidRPr="005B664B">
        <w:rPr>
          <w:rFonts w:ascii="仿宋_GB2312" w:hAnsi="仿宋_GB2312" w:cs="仿宋_GB2312" w:hint="eastAsia"/>
          <w:sz w:val="28"/>
          <w:szCs w:val="28"/>
        </w:rPr>
        <w:t>、</w:t>
      </w:r>
      <w:r w:rsidR="00EF16B5" w:rsidRPr="005B664B">
        <w:rPr>
          <w:rFonts w:ascii="仿宋_GB2312" w:hAnsi="仿宋_GB2312" w:cs="仿宋_GB2312" w:hint="eastAsia"/>
          <w:sz w:val="28"/>
          <w:szCs w:val="28"/>
        </w:rPr>
        <w:t>阿克苏地区新地矿产资源开发有限责任公司</w:t>
      </w:r>
      <w:r w:rsidR="00EF16B5" w:rsidRPr="005B664B">
        <w:rPr>
          <w:rFonts w:ascii="仿宋_GB2312" w:hAnsi="仿宋_GB2312" w:cs="仿宋_GB2312" w:hint="eastAsia"/>
          <w:sz w:val="28"/>
          <w:szCs w:val="28"/>
        </w:rPr>
        <w:t>。</w:t>
      </w:r>
    </w:p>
    <w:p w:rsidR="00902DBF" w:rsidRPr="005B664B" w:rsidRDefault="00902DBF">
      <w:pPr>
        <w:topLinePunct/>
        <w:adjustRightInd w:val="0"/>
        <w:snapToGrid w:val="0"/>
        <w:spacing w:line="480" w:lineRule="exact"/>
        <w:rPr>
          <w:rFonts w:ascii="仿宋_GB2312" w:hint="eastAsia"/>
          <w:sz w:val="28"/>
          <w:szCs w:val="28"/>
        </w:rPr>
      </w:pPr>
      <w:r w:rsidRPr="005B664B">
        <w:rPr>
          <w:rFonts w:ascii="仿宋_GB2312" w:hint="eastAsia"/>
        </w:rPr>
        <w:pict>
          <v:line id="直线 5" o:spid="_x0000_s1028" style="position:absolute;left:0;text-align:left;z-index:251661312" from="-3.75pt,26.55pt" to="453.15pt,26.55pt" o:gfxdata="UEsDBAoAAAAAAIdO4kAAAAAAAAAAAAAAAAAEAAAAZHJzL1BLAwQUAAAACACHTuJABx87NNUAAAAI&#10;AQAADwAAAGRycy9kb3ducmV2LnhtbE2PwU7DMAyG70i8Q2QkbltaRkdXmk5iEpfdKBNwzBrTViRO&#10;1WTd+vYYcYCj/f/6/LncXpwVE46h96QgXSYgkBpvemoVHF6fFzmIEDUZbT2hghkDbKvrq1IXxp/p&#10;Bac6toIhFAqtoItxKKQMTYdOh6UfkDj79KPTkcexlWbUZ4Y7K++SZC2d7okvdHrAXYfNV31yTMne&#10;86e9zg/zbOuPzf3ubT+RU+r2Jk0eQUS8xL8y/OizOlTsdPQnMkFYBYuHjJsKslUKgvNNsl6BOP4u&#10;ZFXK/w9U31BLAwQUAAAACACHTuJAhOn2qOgBAADcAwAADgAAAGRycy9lMm9Eb2MueG1srVNLbtsw&#10;EN0X6B0I7mvJDhykQuQs4qabojXQ5gBjkpII8AcObdln6TW66qbHyTU6pBynTTdeVAtqyBm+mfdm&#10;eHt3sIbtVUTtXcvns5oz5YSX2vUtf/z28O6GM0zgJBjvVMuPCvnd6u2b2zE0auEHb6SKjEAcNmNo&#10;+ZBSaKoKxaAs4MwH5cjZ+Wgh0Tb2lYwwEro11aKur6vRRxmiFwqRTteTk58Q4yWAvuu0UGsvdla5&#10;NKFGZSARJRx0QL4q1XadEulL16FKzLScmKayUhKyt3mtVrfQ9BHCoMWpBLikhFecLGhHSc9Qa0jA&#10;dlH/A2W1iB59l2bC22oiUhQhFvP6lTZfBwiqcCGpMZxFx/8HKz7vN5Fp2fIrzhxYavjT9x9PP3+x&#10;ZdZmDNhQyL3bxNMOwyZmoocu2vwnCuxQ9Dye9VSHxAQdLm/qxfUVSS2efdXLxRAxfVTesmy03GiX&#10;qUID+0+YKBmFPofkY+PYSOP6vl5mPKDB66jhZNpAxaPry2X0RssHbUy+grHf3pvI9pCbX77MiYD/&#10;CstZ1oDDFFdc01gMCuQHJ1k6BpLF0WvguQarJGdG0ePJFgFCk0CbSyIptXFUQZZ1EjJbWy+P1IRd&#10;iLofSIp5qTJ7qOml3tOA5qn6c1+QXh7l6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HHzs01QAA&#10;AAgBAAAPAAAAAAAAAAEAIAAAACIAAABkcnMvZG93bnJldi54bWxQSwECFAAUAAAACACHTuJAhOn2&#10;qOgBAADcAwAADgAAAAAAAAABACAAAAAkAQAAZHJzL2Uyb0RvYy54bWxQSwUGAAAAAAYABgBZAQAA&#10;fgUAAAAA&#10;" strokeweight="1.5pt"/>
        </w:pict>
      </w:r>
      <w:r w:rsidRPr="005B664B">
        <w:rPr>
          <w:rFonts w:ascii="仿宋_GB2312" w:hint="eastAsia"/>
        </w:rPr>
        <w:pict>
          <v:line id="直线 6" o:spid="_x0000_s1027" style="position:absolute;left:0;text-align:left;z-index:251662336" from="-3.55pt,2.05pt" to="453.35pt,2.05pt" o:gfxdata="UEsDBAoAAAAAAIdO4kAAAAAAAAAAAAAAAAAEAAAAZHJzL1BLAwQUAAAACACHTuJAlY4YINQAAAAG&#10;AQAADwAAAGRycy9kb3ducmV2LnhtbE2OzU7DMBCE70i8g7VIXKrWTkEthDg9ALlxoYC4buMliYjX&#10;aez+wNOz9AKn0WhGM1+xOvpe7WmMXWAL2cyAIq6D67ix8PpSTW9AxYTssA9MFr4owqo8Pyswd+HA&#10;z7Rfp0bJCMccLbQpDbnWsW7JY5yFgViyjzB6TGLHRrsRDzLuez03ZqE9diwPLQ5031L9ud55C7F6&#10;o231Pakn5v2qCTTfPjw9orWXF5m5A5XomP7K8Isv6FAK0ybs2EXVW5guM2lauBaR+NYslqA2J6/L&#10;Qv/HL38AUEsDBBQAAAAIAIdO4kATItHu6AEAANsDAAAOAAAAZHJzL2Uyb0RvYy54bWytU0uOEzEQ&#10;3SNxB8t70kkg0dBKZxYThg2CSAwHqNjubkv+yeWkk7NwDVZsOM5cg7I7k4FhkwW9cJdd5Vf1XpVX&#10;t0dr2EFF1N41fDaZcqac8FK7ruHfHu7f3HCGCZwE451q+Ekhv12/frUaQq3mvvdGqsgIxGE9hIb3&#10;KYW6qlD0ygJOfFCOnK2PFhJtY1fJCAOhW1PNp9NlNfgoQ/RCIdLpZnTyM2K8BtC3rRZq48XeKpdG&#10;1KgMJKKEvQ7I16XatlUifWlbVImZhhPTVFZKQvYur9V6BXUXIfRanEuAa0p4wcmCdpT0ArWBBGwf&#10;9T9QVovo0bdpIrytRiJFEWIxm77Q5msPQRUuJDWGi+j4/2DF58M2Mi0b/o4zB5Ya/vj9x+PPX2yZ&#10;tRkC1hRy57bxvMOwjZnosY02/4kCOxY9Txc91TExQYeLm+l8+ZakFk++6vliiJg+Km9ZNhputMtU&#10;oYbDJ0yUjEKfQvKxcWxo+PvFfEFwQHPXUr/JtIFqR9eVu+iNlvfamHwDY7e7M5EdIPe+fJkS4f4V&#10;lpNsAPsxrrjGqegVyA9OsnQKpIqjx8BzCVZJzoyit5MtAoQ6gTbXRFJq46iCrOqoY7Z2Xp6oB/sQ&#10;ddeTErNSZfZQz0u95/nMQ/XnviA9v8n1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WOGCDUAAAA&#10;BgEAAA8AAAAAAAAAAQAgAAAAIgAAAGRycy9kb3ducmV2LnhtbFBLAQIUABQAAAAIAIdO4kATItHu&#10;6AEAANsDAAAOAAAAAAAAAAEAIAAAACMBAABkcnMvZTJvRG9jLnhtbFBLBQYAAAAABgAGAFkBAAB9&#10;BQAAAAA=&#10;"/>
        </w:pict>
      </w:r>
      <w:r w:rsidR="00EF16B5" w:rsidRPr="005B664B">
        <w:rPr>
          <w:rFonts w:ascii="仿宋_GB2312" w:hint="eastAsia"/>
          <w:sz w:val="28"/>
          <w:szCs w:val="28"/>
        </w:rPr>
        <w:t>第一师阿拉尔市生态环境局</w:t>
      </w:r>
      <w:r w:rsidR="00EF16B5" w:rsidRPr="005B664B">
        <w:rPr>
          <w:rFonts w:ascii="仿宋_GB2312" w:hint="eastAsia"/>
          <w:sz w:val="28"/>
          <w:szCs w:val="28"/>
        </w:rPr>
        <w:t xml:space="preserve">                       </w:t>
      </w:r>
      <w:r w:rsidR="00EF16B5" w:rsidRPr="005B664B">
        <w:rPr>
          <w:rFonts w:ascii="仿宋_GB2312" w:hint="eastAsia"/>
          <w:kern w:val="0"/>
          <w:sz w:val="28"/>
          <w:szCs w:val="28"/>
        </w:rPr>
        <w:t>202</w:t>
      </w:r>
      <w:r w:rsidR="00EF16B5" w:rsidRPr="005B664B">
        <w:rPr>
          <w:rFonts w:ascii="仿宋_GB2312" w:hint="eastAsia"/>
          <w:kern w:val="0"/>
          <w:sz w:val="28"/>
          <w:szCs w:val="28"/>
        </w:rPr>
        <w:t>2</w:t>
      </w:r>
      <w:r w:rsidR="00EF16B5" w:rsidRPr="005B664B">
        <w:rPr>
          <w:rFonts w:ascii="仿宋_GB2312" w:hint="eastAsia"/>
          <w:kern w:val="0"/>
          <w:sz w:val="28"/>
          <w:szCs w:val="28"/>
        </w:rPr>
        <w:t>年</w:t>
      </w:r>
      <w:r w:rsidR="00EF16B5" w:rsidRPr="005B664B">
        <w:rPr>
          <w:rFonts w:ascii="仿宋_GB2312" w:hint="eastAsia"/>
          <w:kern w:val="0"/>
          <w:sz w:val="28"/>
          <w:szCs w:val="28"/>
        </w:rPr>
        <w:t>2</w:t>
      </w:r>
      <w:r w:rsidR="00EF16B5" w:rsidRPr="005B664B">
        <w:rPr>
          <w:rFonts w:ascii="仿宋_GB2312" w:hint="eastAsia"/>
          <w:kern w:val="0"/>
          <w:sz w:val="28"/>
          <w:szCs w:val="28"/>
        </w:rPr>
        <w:t>月</w:t>
      </w:r>
      <w:r w:rsidR="009858DD" w:rsidRPr="005B664B">
        <w:rPr>
          <w:rFonts w:ascii="仿宋_GB2312" w:hint="eastAsia"/>
          <w:kern w:val="0"/>
          <w:sz w:val="28"/>
          <w:szCs w:val="28"/>
        </w:rPr>
        <w:t>16</w:t>
      </w:r>
      <w:r w:rsidR="00EF16B5" w:rsidRPr="005B664B">
        <w:rPr>
          <w:rFonts w:ascii="仿宋_GB2312" w:hint="eastAsia"/>
          <w:kern w:val="0"/>
          <w:sz w:val="28"/>
          <w:szCs w:val="28"/>
        </w:rPr>
        <w:t>日印发</w:t>
      </w:r>
    </w:p>
    <w:sectPr w:rsidR="00902DBF" w:rsidRPr="005B664B" w:rsidSect="00902DBF">
      <w:headerReference w:type="default" r:id="rId8"/>
      <w:footerReference w:type="even" r:id="rId9"/>
      <w:footerReference w:type="default" r:id="rId10"/>
      <w:pgSz w:w="11906" w:h="16838"/>
      <w:pgMar w:top="2098" w:right="1474" w:bottom="1984" w:left="1587" w:header="2098" w:footer="1985" w:gutter="0"/>
      <w:cols w:space="720"/>
      <w:docGrid w:type="linesAndChars" w:linePitch="604" w:charSpace="-321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16B5" w:rsidRDefault="00EF16B5" w:rsidP="00902DBF">
      <w:r>
        <w:separator/>
      </w:r>
    </w:p>
  </w:endnote>
  <w:endnote w:type="continuationSeparator" w:id="0">
    <w:p w:rsidR="00EF16B5" w:rsidRDefault="00EF16B5" w:rsidP="00902D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DBF" w:rsidRDefault="00EF16B5">
    <w:pPr>
      <w:pStyle w:val="aa"/>
      <w:ind w:firstLineChars="100" w:firstLine="280"/>
      <w:rPr>
        <w:rFonts w:ascii="仿宋_GB2312"/>
        <w:sz w:val="28"/>
        <w:szCs w:val="28"/>
      </w:rPr>
    </w:pPr>
    <w:r>
      <w:rPr>
        <w:rFonts w:ascii="仿宋_GB2312"/>
        <w:sz w:val="28"/>
        <w:szCs w:val="28"/>
      </w:rPr>
      <w:t>—</w:t>
    </w:r>
    <w:r>
      <w:rPr>
        <w:rFonts w:ascii="仿宋_GB2312"/>
        <w:sz w:val="28"/>
        <w:szCs w:val="28"/>
      </w:rPr>
      <w:t xml:space="preserve"> </w:t>
    </w:r>
    <w:r w:rsidR="00902DBF">
      <w:rPr>
        <w:rStyle w:val="ad"/>
        <w:rFonts w:ascii="仿宋_GB2312"/>
        <w:sz w:val="28"/>
        <w:szCs w:val="28"/>
      </w:rPr>
      <w:fldChar w:fldCharType="begin"/>
    </w:r>
    <w:r>
      <w:rPr>
        <w:rStyle w:val="ad"/>
        <w:rFonts w:ascii="仿宋_GB2312"/>
        <w:sz w:val="28"/>
        <w:szCs w:val="28"/>
      </w:rPr>
      <w:instrText xml:space="preserve"> PAGE </w:instrText>
    </w:r>
    <w:r w:rsidR="00902DBF">
      <w:rPr>
        <w:rStyle w:val="ad"/>
        <w:rFonts w:ascii="仿宋_GB2312"/>
        <w:sz w:val="28"/>
        <w:szCs w:val="28"/>
      </w:rPr>
      <w:fldChar w:fldCharType="separate"/>
    </w:r>
    <w:r>
      <w:rPr>
        <w:rStyle w:val="ad"/>
        <w:rFonts w:ascii="仿宋_GB2312"/>
        <w:sz w:val="28"/>
        <w:szCs w:val="28"/>
      </w:rPr>
      <w:t>4</w:t>
    </w:r>
    <w:r w:rsidR="00902DBF">
      <w:rPr>
        <w:rStyle w:val="ad"/>
        <w:rFonts w:ascii="仿宋_GB2312"/>
        <w:sz w:val="28"/>
        <w:szCs w:val="28"/>
      </w:rPr>
      <w:fldChar w:fldCharType="end"/>
    </w:r>
    <w:r>
      <w:rPr>
        <w:rFonts w:ascii="仿宋_GB2312"/>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DBF" w:rsidRDefault="00902DBF">
    <w:pPr>
      <w:pStyle w:val="aa"/>
      <w:wordWrap w:val="0"/>
      <w:jc w:val="right"/>
      <w:rPr>
        <w:rFonts w:ascii="仿宋_GB2312"/>
        <w:sz w:val="28"/>
        <w:szCs w:val="28"/>
      </w:rPr>
    </w:pPr>
    <w:r w:rsidRPr="00902DBF">
      <w:pict>
        <v:shapetype id="_x0000_t202" coordsize="21600,21600" o:spt="202" path="m,l,21600r21600,l21600,xe">
          <v:stroke joinstyle="miter"/>
          <v:path gradientshapeok="t" o:connecttype="rect"/>
        </v:shapetype>
        <v:shape id="_x0000_s2049" type="#_x0000_t202" style="position:absolute;left:0;text-align:left;margin-left:104pt;margin-top:0;width:2in;height:2in;z-index:251661312;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06/Tc4BAACnAwAADgAAAGRycy9lMm9Eb2MueG1srVPNjtMwEL4j8Q6W&#10;7zRppUV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CtOv03OAQAApwMAAA4AAAAAAAAAAQAgAAAAHgEAAGRycy9l&#10;Mm9Eb2MueG1sUEsFBgAAAAAGAAYAWQEAAF4FAAAAAA==&#10;" filled="f" stroked="f">
          <v:textbox style="mso-fit-shape-to-text:t" inset="0,0,0,0">
            <w:txbxContent>
              <w:p w:rsidR="00902DBF" w:rsidRDefault="00EF16B5">
                <w:pPr>
                  <w:pStyle w:val="aa"/>
                  <w:wordWrap w:val="0"/>
                  <w:jc w:val="right"/>
                </w:pPr>
                <w:r>
                  <w:rPr>
                    <w:rFonts w:ascii="仿宋_GB2312"/>
                    <w:sz w:val="28"/>
                    <w:szCs w:val="28"/>
                  </w:rPr>
                  <w:t xml:space="preserve">                                                     </w:t>
                </w:r>
                <w:r>
                  <w:rPr>
                    <w:rFonts w:ascii="仿宋_GB2312"/>
                    <w:sz w:val="28"/>
                    <w:szCs w:val="28"/>
                  </w:rPr>
                  <w:t>—</w:t>
                </w:r>
                <w:r>
                  <w:rPr>
                    <w:rFonts w:ascii="仿宋_GB2312"/>
                    <w:sz w:val="28"/>
                    <w:szCs w:val="28"/>
                  </w:rPr>
                  <w:t xml:space="preserve"> </w:t>
                </w:r>
                <w:r w:rsidR="00902DBF">
                  <w:rPr>
                    <w:rFonts w:ascii="仿宋_GB2312"/>
                    <w:sz w:val="28"/>
                    <w:szCs w:val="28"/>
                  </w:rPr>
                  <w:fldChar w:fldCharType="begin"/>
                </w:r>
                <w:r>
                  <w:rPr>
                    <w:rFonts w:ascii="仿宋_GB2312"/>
                    <w:sz w:val="28"/>
                    <w:szCs w:val="28"/>
                  </w:rPr>
                  <w:instrText xml:space="preserve"> PAGE </w:instrText>
                </w:r>
                <w:r w:rsidR="00902DBF">
                  <w:rPr>
                    <w:rFonts w:ascii="仿宋_GB2312"/>
                    <w:sz w:val="28"/>
                    <w:szCs w:val="28"/>
                  </w:rPr>
                  <w:fldChar w:fldCharType="separate"/>
                </w:r>
                <w:r w:rsidR="005B664B">
                  <w:rPr>
                    <w:rFonts w:ascii="仿宋_GB2312"/>
                    <w:noProof/>
                    <w:sz w:val="28"/>
                    <w:szCs w:val="28"/>
                  </w:rPr>
                  <w:t>5</w:t>
                </w:r>
                <w:r w:rsidR="00902DBF">
                  <w:rPr>
                    <w:rFonts w:ascii="仿宋_GB2312"/>
                    <w:sz w:val="28"/>
                    <w:szCs w:val="28"/>
                  </w:rPr>
                  <w:fldChar w:fldCharType="end"/>
                </w:r>
                <w:r>
                  <w:rPr>
                    <w:rFonts w:ascii="仿宋_GB2312"/>
                    <w:sz w:val="28"/>
                    <w:szCs w:val="28"/>
                  </w:rPr>
                  <w:t xml:space="preserve"> </w:t>
                </w:r>
                <w:r>
                  <w:rPr>
                    <w:rFonts w:ascii="仿宋_GB2312"/>
                    <w:sz w:val="28"/>
                    <w:szCs w:val="28"/>
                  </w:rPr>
                  <w:t>—</w:t>
                </w:r>
                <w:r>
                  <w:rPr>
                    <w:rFonts w:ascii="仿宋_GB2312"/>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16B5" w:rsidRDefault="00EF16B5" w:rsidP="00902DBF">
      <w:r>
        <w:separator/>
      </w:r>
    </w:p>
  </w:footnote>
  <w:footnote w:type="continuationSeparator" w:id="0">
    <w:p w:rsidR="00EF16B5" w:rsidRDefault="00EF16B5" w:rsidP="00902D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DBF" w:rsidRDefault="00902DBF">
    <w:pPr>
      <w:pStyle w:val="ab"/>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4B3E0B4"/>
    <w:multiLevelType w:val="singleLevel"/>
    <w:tmpl w:val="F4B3E0B4"/>
    <w:lvl w:ilvl="0">
      <w:start w:val="1"/>
      <w:numFmt w:val="chineseCounting"/>
      <w:suff w:val="nothing"/>
      <w:lvlText w:val="%1、"/>
      <w:lvlJc w:val="left"/>
      <w:rPr>
        <w:rFonts w:hint="eastAsia"/>
        <w:lang w:val="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underlineTabInNumList/>
  </w:compat>
  <w:rsids>
    <w:rsidRoot w:val="00172A27"/>
    <w:rsid w:val="000054CD"/>
    <w:rsid w:val="0002100E"/>
    <w:rsid w:val="00025129"/>
    <w:rsid w:val="0003627E"/>
    <w:rsid w:val="00067B08"/>
    <w:rsid w:val="00073C72"/>
    <w:rsid w:val="00081DFA"/>
    <w:rsid w:val="0009177B"/>
    <w:rsid w:val="000C10E0"/>
    <w:rsid w:val="000D0248"/>
    <w:rsid w:val="000E325E"/>
    <w:rsid w:val="000E36E3"/>
    <w:rsid w:val="000F6540"/>
    <w:rsid w:val="00102670"/>
    <w:rsid w:val="001131A0"/>
    <w:rsid w:val="0011780B"/>
    <w:rsid w:val="001351AA"/>
    <w:rsid w:val="001431BE"/>
    <w:rsid w:val="001478A1"/>
    <w:rsid w:val="00151BC5"/>
    <w:rsid w:val="001639FC"/>
    <w:rsid w:val="00171DAC"/>
    <w:rsid w:val="00172A27"/>
    <w:rsid w:val="00173C39"/>
    <w:rsid w:val="00182FEC"/>
    <w:rsid w:val="001A2A43"/>
    <w:rsid w:val="001C118C"/>
    <w:rsid w:val="001C4019"/>
    <w:rsid w:val="001C6802"/>
    <w:rsid w:val="001C7850"/>
    <w:rsid w:val="001D4454"/>
    <w:rsid w:val="001E3B52"/>
    <w:rsid w:val="0020163E"/>
    <w:rsid w:val="00217698"/>
    <w:rsid w:val="00221F17"/>
    <w:rsid w:val="00227C51"/>
    <w:rsid w:val="00242BA0"/>
    <w:rsid w:val="00295BA8"/>
    <w:rsid w:val="002A3C15"/>
    <w:rsid w:val="002B19C8"/>
    <w:rsid w:val="002B542D"/>
    <w:rsid w:val="002B6DD0"/>
    <w:rsid w:val="002C547B"/>
    <w:rsid w:val="002D4273"/>
    <w:rsid w:val="002F3867"/>
    <w:rsid w:val="002F5F6B"/>
    <w:rsid w:val="00301877"/>
    <w:rsid w:val="003023C4"/>
    <w:rsid w:val="00304D0B"/>
    <w:rsid w:val="003111A9"/>
    <w:rsid w:val="00344500"/>
    <w:rsid w:val="0034681B"/>
    <w:rsid w:val="00356217"/>
    <w:rsid w:val="00362623"/>
    <w:rsid w:val="0037214A"/>
    <w:rsid w:val="00381759"/>
    <w:rsid w:val="00387BD7"/>
    <w:rsid w:val="0039331B"/>
    <w:rsid w:val="003A7228"/>
    <w:rsid w:val="003C0176"/>
    <w:rsid w:val="003F3A9F"/>
    <w:rsid w:val="003F3CAB"/>
    <w:rsid w:val="003F5ECF"/>
    <w:rsid w:val="003F754F"/>
    <w:rsid w:val="003F7F32"/>
    <w:rsid w:val="00414269"/>
    <w:rsid w:val="0042735D"/>
    <w:rsid w:val="00437564"/>
    <w:rsid w:val="00467A46"/>
    <w:rsid w:val="004A0B75"/>
    <w:rsid w:val="004C21F7"/>
    <w:rsid w:val="004D50DF"/>
    <w:rsid w:val="004E59A2"/>
    <w:rsid w:val="004E78FB"/>
    <w:rsid w:val="0050203A"/>
    <w:rsid w:val="005034F0"/>
    <w:rsid w:val="005065C1"/>
    <w:rsid w:val="00521645"/>
    <w:rsid w:val="0054008B"/>
    <w:rsid w:val="00544F64"/>
    <w:rsid w:val="00552199"/>
    <w:rsid w:val="0056250B"/>
    <w:rsid w:val="0056471E"/>
    <w:rsid w:val="005658BF"/>
    <w:rsid w:val="00573380"/>
    <w:rsid w:val="00574966"/>
    <w:rsid w:val="00595200"/>
    <w:rsid w:val="005A0EF4"/>
    <w:rsid w:val="005A7DA2"/>
    <w:rsid w:val="005B5904"/>
    <w:rsid w:val="005B664B"/>
    <w:rsid w:val="005B7397"/>
    <w:rsid w:val="005C1023"/>
    <w:rsid w:val="005C21E2"/>
    <w:rsid w:val="005C4009"/>
    <w:rsid w:val="005D4B5A"/>
    <w:rsid w:val="005E495F"/>
    <w:rsid w:val="005E71F3"/>
    <w:rsid w:val="00616CC0"/>
    <w:rsid w:val="00625852"/>
    <w:rsid w:val="00625BEE"/>
    <w:rsid w:val="00633A23"/>
    <w:rsid w:val="00635F1D"/>
    <w:rsid w:val="006403BB"/>
    <w:rsid w:val="00640AE8"/>
    <w:rsid w:val="00667317"/>
    <w:rsid w:val="006727ED"/>
    <w:rsid w:val="006C14B9"/>
    <w:rsid w:val="006D69B8"/>
    <w:rsid w:val="006D7837"/>
    <w:rsid w:val="00702A5C"/>
    <w:rsid w:val="00706D5A"/>
    <w:rsid w:val="00722814"/>
    <w:rsid w:val="00725EB1"/>
    <w:rsid w:val="00764C46"/>
    <w:rsid w:val="0076670F"/>
    <w:rsid w:val="0076673A"/>
    <w:rsid w:val="0077154D"/>
    <w:rsid w:val="00782DFB"/>
    <w:rsid w:val="007920AE"/>
    <w:rsid w:val="00794C98"/>
    <w:rsid w:val="007A536E"/>
    <w:rsid w:val="007B14CA"/>
    <w:rsid w:val="007B75B9"/>
    <w:rsid w:val="007C2643"/>
    <w:rsid w:val="007C727B"/>
    <w:rsid w:val="007C7434"/>
    <w:rsid w:val="007E7E36"/>
    <w:rsid w:val="007F26DF"/>
    <w:rsid w:val="008473C2"/>
    <w:rsid w:val="00870BDC"/>
    <w:rsid w:val="008A0CD9"/>
    <w:rsid w:val="008A3DE4"/>
    <w:rsid w:val="008B3ABC"/>
    <w:rsid w:val="008B4592"/>
    <w:rsid w:val="008B53D6"/>
    <w:rsid w:val="008C4076"/>
    <w:rsid w:val="008D4DA6"/>
    <w:rsid w:val="008E4CAD"/>
    <w:rsid w:val="00902DBF"/>
    <w:rsid w:val="00940701"/>
    <w:rsid w:val="009451BE"/>
    <w:rsid w:val="00967F11"/>
    <w:rsid w:val="009717AE"/>
    <w:rsid w:val="009831E4"/>
    <w:rsid w:val="009858DD"/>
    <w:rsid w:val="009A57E1"/>
    <w:rsid w:val="009A6ADB"/>
    <w:rsid w:val="009C4D01"/>
    <w:rsid w:val="009C7135"/>
    <w:rsid w:val="009D32CE"/>
    <w:rsid w:val="009D3FB3"/>
    <w:rsid w:val="00A022D0"/>
    <w:rsid w:val="00A10371"/>
    <w:rsid w:val="00A310E4"/>
    <w:rsid w:val="00A4697E"/>
    <w:rsid w:val="00A47725"/>
    <w:rsid w:val="00A657FC"/>
    <w:rsid w:val="00A6628E"/>
    <w:rsid w:val="00A750A6"/>
    <w:rsid w:val="00A77C79"/>
    <w:rsid w:val="00AA3603"/>
    <w:rsid w:val="00AA4D77"/>
    <w:rsid w:val="00AB6EF5"/>
    <w:rsid w:val="00AC4A8C"/>
    <w:rsid w:val="00AC6CC0"/>
    <w:rsid w:val="00AD3DAD"/>
    <w:rsid w:val="00AE033B"/>
    <w:rsid w:val="00AE1A9B"/>
    <w:rsid w:val="00AE644B"/>
    <w:rsid w:val="00AE6472"/>
    <w:rsid w:val="00AF5850"/>
    <w:rsid w:val="00B00731"/>
    <w:rsid w:val="00B016D8"/>
    <w:rsid w:val="00B05BF7"/>
    <w:rsid w:val="00B1000F"/>
    <w:rsid w:val="00B124C4"/>
    <w:rsid w:val="00B25E52"/>
    <w:rsid w:val="00B62F40"/>
    <w:rsid w:val="00B749E5"/>
    <w:rsid w:val="00B7660D"/>
    <w:rsid w:val="00B82D7E"/>
    <w:rsid w:val="00B8493D"/>
    <w:rsid w:val="00B932C8"/>
    <w:rsid w:val="00BA5CB4"/>
    <w:rsid w:val="00BB0A14"/>
    <w:rsid w:val="00BB145C"/>
    <w:rsid w:val="00BB4C09"/>
    <w:rsid w:val="00BB6035"/>
    <w:rsid w:val="00BC1FD2"/>
    <w:rsid w:val="00BC5666"/>
    <w:rsid w:val="00BD1D4D"/>
    <w:rsid w:val="00C21A9D"/>
    <w:rsid w:val="00C62C13"/>
    <w:rsid w:val="00C6330E"/>
    <w:rsid w:val="00C83EEA"/>
    <w:rsid w:val="00C965F6"/>
    <w:rsid w:val="00CA71CC"/>
    <w:rsid w:val="00CC768D"/>
    <w:rsid w:val="00CD6137"/>
    <w:rsid w:val="00CF24A0"/>
    <w:rsid w:val="00CF6420"/>
    <w:rsid w:val="00D031D8"/>
    <w:rsid w:val="00D033F3"/>
    <w:rsid w:val="00D3088C"/>
    <w:rsid w:val="00D34FA7"/>
    <w:rsid w:val="00D51444"/>
    <w:rsid w:val="00D6121A"/>
    <w:rsid w:val="00D62111"/>
    <w:rsid w:val="00D624A5"/>
    <w:rsid w:val="00D62772"/>
    <w:rsid w:val="00DC2A23"/>
    <w:rsid w:val="00DD7B76"/>
    <w:rsid w:val="00DE4EA5"/>
    <w:rsid w:val="00DF55D1"/>
    <w:rsid w:val="00E16BE8"/>
    <w:rsid w:val="00E205D2"/>
    <w:rsid w:val="00E20F24"/>
    <w:rsid w:val="00E231D6"/>
    <w:rsid w:val="00E36172"/>
    <w:rsid w:val="00E62930"/>
    <w:rsid w:val="00E74521"/>
    <w:rsid w:val="00E9496E"/>
    <w:rsid w:val="00EB462A"/>
    <w:rsid w:val="00EC2B80"/>
    <w:rsid w:val="00EC43F2"/>
    <w:rsid w:val="00EE1372"/>
    <w:rsid w:val="00EE7E1B"/>
    <w:rsid w:val="00EF16B5"/>
    <w:rsid w:val="00EF36B4"/>
    <w:rsid w:val="00F2189F"/>
    <w:rsid w:val="00F3491A"/>
    <w:rsid w:val="00F35718"/>
    <w:rsid w:val="00F37233"/>
    <w:rsid w:val="00F47EFE"/>
    <w:rsid w:val="00F64F83"/>
    <w:rsid w:val="00F86B97"/>
    <w:rsid w:val="00FB12D5"/>
    <w:rsid w:val="00FB2EBF"/>
    <w:rsid w:val="00FB3D4F"/>
    <w:rsid w:val="00FC166D"/>
    <w:rsid w:val="00FD02D8"/>
    <w:rsid w:val="00FF1A9F"/>
    <w:rsid w:val="00FF658E"/>
    <w:rsid w:val="00FF75C2"/>
    <w:rsid w:val="01064ED7"/>
    <w:rsid w:val="01325953"/>
    <w:rsid w:val="02B04992"/>
    <w:rsid w:val="034755F0"/>
    <w:rsid w:val="035D241C"/>
    <w:rsid w:val="03B06540"/>
    <w:rsid w:val="03D12BCA"/>
    <w:rsid w:val="04176B49"/>
    <w:rsid w:val="05266A20"/>
    <w:rsid w:val="0541795A"/>
    <w:rsid w:val="054458A4"/>
    <w:rsid w:val="05D43962"/>
    <w:rsid w:val="07407B22"/>
    <w:rsid w:val="08180041"/>
    <w:rsid w:val="0830682F"/>
    <w:rsid w:val="08811A5C"/>
    <w:rsid w:val="0A3D630E"/>
    <w:rsid w:val="0AC72C95"/>
    <w:rsid w:val="0AD425F9"/>
    <w:rsid w:val="0D027E89"/>
    <w:rsid w:val="0D996C6A"/>
    <w:rsid w:val="0E395175"/>
    <w:rsid w:val="0E4944CA"/>
    <w:rsid w:val="0EF07023"/>
    <w:rsid w:val="106A30F3"/>
    <w:rsid w:val="14FD6733"/>
    <w:rsid w:val="15E44B56"/>
    <w:rsid w:val="161C3D3D"/>
    <w:rsid w:val="173166B8"/>
    <w:rsid w:val="17A92121"/>
    <w:rsid w:val="17D468F4"/>
    <w:rsid w:val="18432B07"/>
    <w:rsid w:val="196E264E"/>
    <w:rsid w:val="1A1221AF"/>
    <w:rsid w:val="1AF44BD8"/>
    <w:rsid w:val="1B4A2CAF"/>
    <w:rsid w:val="1CAF43B1"/>
    <w:rsid w:val="1CE95079"/>
    <w:rsid w:val="1D246E55"/>
    <w:rsid w:val="1D9D7DB3"/>
    <w:rsid w:val="1DA90861"/>
    <w:rsid w:val="1DB85381"/>
    <w:rsid w:val="1E7476C9"/>
    <w:rsid w:val="200E15B3"/>
    <w:rsid w:val="207E0C31"/>
    <w:rsid w:val="20BE1BD0"/>
    <w:rsid w:val="211667CB"/>
    <w:rsid w:val="21530B74"/>
    <w:rsid w:val="21906BAC"/>
    <w:rsid w:val="236144E9"/>
    <w:rsid w:val="237C4B26"/>
    <w:rsid w:val="239B50D7"/>
    <w:rsid w:val="23AD12B3"/>
    <w:rsid w:val="24DB4525"/>
    <w:rsid w:val="24EF0BEA"/>
    <w:rsid w:val="258973A9"/>
    <w:rsid w:val="2591376E"/>
    <w:rsid w:val="263C168D"/>
    <w:rsid w:val="269902DF"/>
    <w:rsid w:val="275746DD"/>
    <w:rsid w:val="27600519"/>
    <w:rsid w:val="2790028A"/>
    <w:rsid w:val="279B1CED"/>
    <w:rsid w:val="29092402"/>
    <w:rsid w:val="295B2467"/>
    <w:rsid w:val="2A364AB6"/>
    <w:rsid w:val="2A811409"/>
    <w:rsid w:val="2AA26EDD"/>
    <w:rsid w:val="2C8C0BB6"/>
    <w:rsid w:val="2CD60A34"/>
    <w:rsid w:val="2D3B48F6"/>
    <w:rsid w:val="2D631967"/>
    <w:rsid w:val="2E027CBC"/>
    <w:rsid w:val="2E1F612E"/>
    <w:rsid w:val="2E506824"/>
    <w:rsid w:val="2F347112"/>
    <w:rsid w:val="2FE4613F"/>
    <w:rsid w:val="30455855"/>
    <w:rsid w:val="305C2D86"/>
    <w:rsid w:val="31785F6E"/>
    <w:rsid w:val="31850C0F"/>
    <w:rsid w:val="31B5299E"/>
    <w:rsid w:val="32060B1D"/>
    <w:rsid w:val="32E10D6E"/>
    <w:rsid w:val="338113C5"/>
    <w:rsid w:val="338D6A75"/>
    <w:rsid w:val="33E402A7"/>
    <w:rsid w:val="342C2E72"/>
    <w:rsid w:val="35621FD3"/>
    <w:rsid w:val="35C35652"/>
    <w:rsid w:val="35EE5E3A"/>
    <w:rsid w:val="37621267"/>
    <w:rsid w:val="37A429AC"/>
    <w:rsid w:val="37D537C3"/>
    <w:rsid w:val="37D53D88"/>
    <w:rsid w:val="391E7A5F"/>
    <w:rsid w:val="3BC43568"/>
    <w:rsid w:val="3BF406BE"/>
    <w:rsid w:val="3C6D1C18"/>
    <w:rsid w:val="3D0E1AFA"/>
    <w:rsid w:val="3DFD2891"/>
    <w:rsid w:val="3F6318CB"/>
    <w:rsid w:val="3FEC31B0"/>
    <w:rsid w:val="40ED03F5"/>
    <w:rsid w:val="42626CDB"/>
    <w:rsid w:val="42F77C98"/>
    <w:rsid w:val="441D19F6"/>
    <w:rsid w:val="44F064A5"/>
    <w:rsid w:val="44FC29CD"/>
    <w:rsid w:val="45A75901"/>
    <w:rsid w:val="46022F6A"/>
    <w:rsid w:val="47784399"/>
    <w:rsid w:val="498B0B8B"/>
    <w:rsid w:val="49E071E3"/>
    <w:rsid w:val="4A240FA5"/>
    <w:rsid w:val="4B774B0B"/>
    <w:rsid w:val="4BDA798C"/>
    <w:rsid w:val="4C30095A"/>
    <w:rsid w:val="4C3345A7"/>
    <w:rsid w:val="4D683FE0"/>
    <w:rsid w:val="4E74734C"/>
    <w:rsid w:val="4F797014"/>
    <w:rsid w:val="4FA7428A"/>
    <w:rsid w:val="508D765E"/>
    <w:rsid w:val="51A344D8"/>
    <w:rsid w:val="52BA604C"/>
    <w:rsid w:val="54502155"/>
    <w:rsid w:val="5526430F"/>
    <w:rsid w:val="57F047FE"/>
    <w:rsid w:val="58747712"/>
    <w:rsid w:val="58A160EB"/>
    <w:rsid w:val="594B4499"/>
    <w:rsid w:val="5C220DEB"/>
    <w:rsid w:val="5C47156E"/>
    <w:rsid w:val="5CBD3674"/>
    <w:rsid w:val="5CD25C98"/>
    <w:rsid w:val="5E835A1A"/>
    <w:rsid w:val="5F3D7A63"/>
    <w:rsid w:val="5F9266A4"/>
    <w:rsid w:val="60182BAD"/>
    <w:rsid w:val="6105263C"/>
    <w:rsid w:val="6138315C"/>
    <w:rsid w:val="623E68BF"/>
    <w:rsid w:val="62833D3F"/>
    <w:rsid w:val="6378393C"/>
    <w:rsid w:val="63F123EB"/>
    <w:rsid w:val="643B27E7"/>
    <w:rsid w:val="64AC6C6D"/>
    <w:rsid w:val="64C3605F"/>
    <w:rsid w:val="64EF34AE"/>
    <w:rsid w:val="65281682"/>
    <w:rsid w:val="668731B6"/>
    <w:rsid w:val="67F13AD3"/>
    <w:rsid w:val="67FE5FCE"/>
    <w:rsid w:val="690F337D"/>
    <w:rsid w:val="6A0D50F8"/>
    <w:rsid w:val="6A1509A4"/>
    <w:rsid w:val="6A3E2183"/>
    <w:rsid w:val="6A5346D7"/>
    <w:rsid w:val="6C6670FC"/>
    <w:rsid w:val="6CAE202C"/>
    <w:rsid w:val="6D3E2631"/>
    <w:rsid w:val="6E8910AF"/>
    <w:rsid w:val="6EE319A9"/>
    <w:rsid w:val="6FE32AAB"/>
    <w:rsid w:val="704979B6"/>
    <w:rsid w:val="71313099"/>
    <w:rsid w:val="71536BC6"/>
    <w:rsid w:val="7215000D"/>
    <w:rsid w:val="72204F75"/>
    <w:rsid w:val="727609EA"/>
    <w:rsid w:val="734B05C2"/>
    <w:rsid w:val="7414378F"/>
    <w:rsid w:val="74620C49"/>
    <w:rsid w:val="74C507FC"/>
    <w:rsid w:val="74D833F5"/>
    <w:rsid w:val="75421228"/>
    <w:rsid w:val="75963FB7"/>
    <w:rsid w:val="77CE281F"/>
    <w:rsid w:val="78165F38"/>
    <w:rsid w:val="79172FB5"/>
    <w:rsid w:val="794C523A"/>
    <w:rsid w:val="794F40E8"/>
    <w:rsid w:val="79890041"/>
    <w:rsid w:val="7B9348F2"/>
    <w:rsid w:val="7DE1518D"/>
    <w:rsid w:val="7E24255E"/>
    <w:rsid w:val="7EC94A25"/>
    <w:rsid w:val="7F1B59B5"/>
    <w:rsid w:val="7FEF40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0" w:semiHidden="0" w:unhideWhenUsed="0" w:qFormat="1"/>
    <w:lsdException w:name="annotation text" w:unhideWhenUsed="0" w:qFormat="1"/>
    <w:lsdException w:name="header" w:locked="0" w:semiHidden="0" w:unhideWhenUsed="0" w:qFormat="1"/>
    <w:lsdException w:name="footer" w:locked="0" w:semiHidden="0" w:unhideWhenUsed="0" w:qFormat="1"/>
    <w:lsdException w:name="caption" w:uiPriority="35" w:qFormat="1"/>
    <w:lsdException w:name="annotation reference" w:locked="0" w:semiHidden="0" w:unhideWhenUsed="0" w:qFormat="1"/>
    <w:lsdException w:name="page number" w:locked="0" w:semiHidden="0" w:unhideWhenUsed="0" w:qFormat="1"/>
    <w:lsdException w:name="Title" w:semiHidden="0" w:uiPriority="10" w:unhideWhenUsed="0" w:qFormat="1"/>
    <w:lsdException w:name="Default Paragraph Font" w:locked="0" w:unhideWhenUsed="0" w:qFormat="1"/>
    <w:lsdException w:name="Body Text" w:locked="0" w:semiHidden="0" w:unhideWhenUsed="0" w:qFormat="1"/>
    <w:lsdException w:name="Body Text Indent" w:locked="0" w:semiHidden="0" w:unhideWhenUsed="0" w:qFormat="1"/>
    <w:lsdException w:name="Subtitle" w:semiHidden="0" w:uiPriority="11" w:unhideWhenUsed="0" w:qFormat="1"/>
    <w:lsdException w:name="Body Text First Indent 2" w:semiHidden="0" w:unhideWhenUsed="0" w:qFormat="1"/>
    <w:lsdException w:name="Strong" w:semiHidden="0" w:uiPriority="22" w:unhideWhenUsed="0" w:qFormat="1"/>
    <w:lsdException w:name="Emphasis" w:semiHidden="0" w:uiPriority="20" w:unhideWhenUsed="0" w:qFormat="1"/>
    <w:lsdException w:name="Plain Text" w:locked="0" w:semiHidden="0" w:unhideWhenUsed="0" w:qFormat="1"/>
    <w:lsdException w:name="HTML Top of Form" w:locked="0"/>
    <w:lsdException w:name="HTML Bottom of Form" w:locked="0"/>
    <w:lsdException w:name="Normal Table" w:locked="0" w:qFormat="1"/>
    <w:lsdException w:name="annotation subject" w:unhideWhenUsed="0" w:qFormat="1"/>
    <w:lsdException w:name="No List" w:locked="0"/>
    <w:lsdException w:name="Outline List 1" w:locked="0"/>
    <w:lsdException w:name="Outline List 2" w:locked="0"/>
    <w:lsdException w:name="Outline List 3" w:locked="0"/>
    <w:lsdException w:name="Balloon Text" w:unhideWhenUsed="0" w:qFormat="1"/>
    <w:lsdException w:name="Table Grid" w:semiHidden="0" w:uiPriority="59" w:unhideWhenUsed="0"/>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next w:val="a0"/>
    <w:qFormat/>
    <w:rsid w:val="00902DBF"/>
    <w:pPr>
      <w:widowControl w:val="0"/>
      <w:jc w:val="both"/>
    </w:pPr>
    <w:rPr>
      <w:rFonts w:eastAsia="仿宋_GB2312"/>
      <w:kern w:val="2"/>
      <w:sz w:val="32"/>
      <w:szCs w:val="32"/>
    </w:rPr>
  </w:style>
  <w:style w:type="paragraph" w:styleId="2">
    <w:name w:val="heading 2"/>
    <w:basedOn w:val="a"/>
    <w:next w:val="a"/>
    <w:qFormat/>
    <w:locked/>
    <w:rsid w:val="00902DBF"/>
    <w:pPr>
      <w:keepNext/>
      <w:keepLines/>
      <w:spacing w:line="416" w:lineRule="auto"/>
      <w:outlineLvl w:val="1"/>
    </w:pPr>
    <w:rPr>
      <w:rFonts w:ascii="Arial" w:eastAsia="黑体" w:hAnsi="Arial"/>
      <w:b/>
      <w:bC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内"/>
    <w:basedOn w:val="a"/>
    <w:uiPriority w:val="99"/>
    <w:qFormat/>
    <w:rsid w:val="00902DBF"/>
    <w:pPr>
      <w:adjustRightInd w:val="0"/>
      <w:spacing w:line="240" w:lineRule="atLeast"/>
      <w:jc w:val="center"/>
      <w:textAlignment w:val="baseline"/>
    </w:pPr>
    <w:rPr>
      <w:rFonts w:ascii="宋体"/>
      <w:kern w:val="0"/>
      <w:sz w:val="28"/>
      <w:szCs w:val="20"/>
    </w:rPr>
  </w:style>
  <w:style w:type="paragraph" w:styleId="a4">
    <w:name w:val="Normal Indent"/>
    <w:basedOn w:val="a"/>
    <w:link w:val="Char"/>
    <w:uiPriority w:val="99"/>
    <w:qFormat/>
    <w:rsid w:val="00902DBF"/>
    <w:pPr>
      <w:spacing w:line="520" w:lineRule="exact"/>
      <w:ind w:firstLine="624"/>
    </w:pPr>
    <w:rPr>
      <w:rFonts w:eastAsia="宋体"/>
      <w:sz w:val="28"/>
      <w:szCs w:val="20"/>
    </w:rPr>
  </w:style>
  <w:style w:type="paragraph" w:styleId="a5">
    <w:name w:val="annotation text"/>
    <w:basedOn w:val="a"/>
    <w:link w:val="Char0"/>
    <w:uiPriority w:val="99"/>
    <w:semiHidden/>
    <w:qFormat/>
    <w:locked/>
    <w:rsid w:val="00902DBF"/>
    <w:pPr>
      <w:jc w:val="left"/>
    </w:pPr>
    <w:rPr>
      <w:kern w:val="0"/>
      <w:szCs w:val="20"/>
    </w:rPr>
  </w:style>
  <w:style w:type="paragraph" w:styleId="a6">
    <w:name w:val="Body Text"/>
    <w:basedOn w:val="a"/>
    <w:link w:val="Char1"/>
    <w:uiPriority w:val="99"/>
    <w:qFormat/>
    <w:rsid w:val="00902DBF"/>
    <w:pPr>
      <w:spacing w:after="120"/>
    </w:pPr>
    <w:rPr>
      <w:kern w:val="0"/>
      <w:szCs w:val="20"/>
    </w:rPr>
  </w:style>
  <w:style w:type="paragraph" w:styleId="a7">
    <w:name w:val="Body Text Indent"/>
    <w:basedOn w:val="a"/>
    <w:link w:val="Char2"/>
    <w:uiPriority w:val="99"/>
    <w:qFormat/>
    <w:rsid w:val="00902DBF"/>
    <w:pPr>
      <w:spacing w:after="120"/>
      <w:ind w:leftChars="200" w:left="420"/>
    </w:pPr>
    <w:rPr>
      <w:szCs w:val="20"/>
    </w:rPr>
  </w:style>
  <w:style w:type="paragraph" w:styleId="a8">
    <w:name w:val="Plain Text"/>
    <w:basedOn w:val="a"/>
    <w:link w:val="Char3"/>
    <w:uiPriority w:val="99"/>
    <w:qFormat/>
    <w:rsid w:val="00902DBF"/>
    <w:rPr>
      <w:rFonts w:ascii="宋体" w:hAnsi="Courier New"/>
      <w:sz w:val="28"/>
      <w:szCs w:val="20"/>
    </w:rPr>
  </w:style>
  <w:style w:type="paragraph" w:styleId="a9">
    <w:name w:val="Balloon Text"/>
    <w:basedOn w:val="a"/>
    <w:link w:val="Char4"/>
    <w:uiPriority w:val="99"/>
    <w:semiHidden/>
    <w:qFormat/>
    <w:locked/>
    <w:rsid w:val="00902DBF"/>
    <w:rPr>
      <w:kern w:val="0"/>
      <w:sz w:val="2"/>
      <w:szCs w:val="20"/>
    </w:rPr>
  </w:style>
  <w:style w:type="paragraph" w:styleId="aa">
    <w:name w:val="footer"/>
    <w:basedOn w:val="a"/>
    <w:link w:val="Char5"/>
    <w:uiPriority w:val="99"/>
    <w:qFormat/>
    <w:rsid w:val="00902DBF"/>
    <w:pPr>
      <w:tabs>
        <w:tab w:val="center" w:pos="4153"/>
        <w:tab w:val="right" w:pos="8306"/>
      </w:tabs>
      <w:snapToGrid w:val="0"/>
      <w:jc w:val="left"/>
    </w:pPr>
    <w:rPr>
      <w:kern w:val="0"/>
      <w:sz w:val="18"/>
      <w:szCs w:val="20"/>
    </w:rPr>
  </w:style>
  <w:style w:type="paragraph" w:styleId="ab">
    <w:name w:val="header"/>
    <w:basedOn w:val="a"/>
    <w:link w:val="Char6"/>
    <w:uiPriority w:val="99"/>
    <w:qFormat/>
    <w:rsid w:val="00902DBF"/>
    <w:pPr>
      <w:pBdr>
        <w:bottom w:val="thickThinSmallGap" w:sz="24" w:space="1" w:color="auto"/>
      </w:pBdr>
      <w:tabs>
        <w:tab w:val="center" w:pos="4153"/>
        <w:tab w:val="right" w:pos="8306"/>
      </w:tabs>
      <w:snapToGrid w:val="0"/>
      <w:jc w:val="center"/>
    </w:pPr>
    <w:rPr>
      <w:kern w:val="0"/>
      <w:sz w:val="18"/>
      <w:szCs w:val="20"/>
    </w:rPr>
  </w:style>
  <w:style w:type="paragraph" w:styleId="ac">
    <w:name w:val="annotation subject"/>
    <w:basedOn w:val="a5"/>
    <w:next w:val="a5"/>
    <w:link w:val="Char7"/>
    <w:uiPriority w:val="99"/>
    <w:semiHidden/>
    <w:qFormat/>
    <w:locked/>
    <w:rsid w:val="00902DBF"/>
    <w:rPr>
      <w:b/>
    </w:rPr>
  </w:style>
  <w:style w:type="paragraph" w:styleId="20">
    <w:name w:val="Body Text First Indent 2"/>
    <w:basedOn w:val="a7"/>
    <w:link w:val="2Char"/>
    <w:uiPriority w:val="99"/>
    <w:qFormat/>
    <w:locked/>
    <w:rsid w:val="00902DBF"/>
    <w:pPr>
      <w:ind w:firstLineChars="200" w:firstLine="420"/>
    </w:pPr>
  </w:style>
  <w:style w:type="character" w:styleId="ad">
    <w:name w:val="page number"/>
    <w:basedOn w:val="a1"/>
    <w:uiPriority w:val="99"/>
    <w:qFormat/>
    <w:rsid w:val="00902DBF"/>
    <w:rPr>
      <w:rFonts w:cs="Times New Roman"/>
    </w:rPr>
  </w:style>
  <w:style w:type="character" w:styleId="ae">
    <w:name w:val="annotation reference"/>
    <w:basedOn w:val="a1"/>
    <w:uiPriority w:val="99"/>
    <w:qFormat/>
    <w:rsid w:val="00902DBF"/>
    <w:rPr>
      <w:rFonts w:cs="Times New Roman"/>
      <w:sz w:val="21"/>
    </w:rPr>
  </w:style>
  <w:style w:type="paragraph" w:customStyle="1" w:styleId="Default1">
    <w:name w:val="Default1"/>
    <w:qFormat/>
    <w:rsid w:val="00902DBF"/>
    <w:pPr>
      <w:widowControl w:val="0"/>
      <w:autoSpaceDE w:val="0"/>
      <w:autoSpaceDN w:val="0"/>
      <w:adjustRightInd w:val="0"/>
    </w:pPr>
    <w:rPr>
      <w:rFonts w:ascii="宋体" w:hAnsi="Calibri" w:cs="宋体"/>
      <w:color w:val="000000"/>
      <w:sz w:val="24"/>
      <w:szCs w:val="24"/>
    </w:rPr>
  </w:style>
  <w:style w:type="paragraph" w:customStyle="1" w:styleId="Default">
    <w:name w:val="Default"/>
    <w:basedOn w:val="a"/>
    <w:next w:val="a"/>
    <w:uiPriority w:val="99"/>
    <w:qFormat/>
    <w:rsid w:val="00902DBF"/>
    <w:pPr>
      <w:autoSpaceDE w:val="0"/>
      <w:autoSpaceDN w:val="0"/>
      <w:jc w:val="left"/>
    </w:pPr>
    <w:rPr>
      <w:rFonts w:ascii="宋体" w:eastAsia="宋体"/>
      <w:color w:val="000000"/>
      <w:kern w:val="0"/>
      <w:sz w:val="24"/>
      <w:szCs w:val="24"/>
    </w:rPr>
  </w:style>
  <w:style w:type="character" w:customStyle="1" w:styleId="Char1">
    <w:name w:val="正文文本 Char"/>
    <w:basedOn w:val="a1"/>
    <w:link w:val="a6"/>
    <w:uiPriority w:val="99"/>
    <w:semiHidden/>
    <w:qFormat/>
    <w:locked/>
    <w:rsid w:val="00902DBF"/>
    <w:rPr>
      <w:rFonts w:ascii="Times New Roman" w:eastAsia="仿宋_GB2312" w:hAnsi="Times New Roman" w:cs="Times New Roman"/>
      <w:sz w:val="32"/>
    </w:rPr>
  </w:style>
  <w:style w:type="character" w:customStyle="1" w:styleId="Char2">
    <w:name w:val="正文文本缩进 Char"/>
    <w:basedOn w:val="a1"/>
    <w:link w:val="a7"/>
    <w:uiPriority w:val="99"/>
    <w:qFormat/>
    <w:locked/>
    <w:rsid w:val="00902DBF"/>
    <w:rPr>
      <w:rFonts w:eastAsia="仿宋_GB2312" w:cs="Times New Roman"/>
      <w:kern w:val="2"/>
      <w:sz w:val="32"/>
    </w:rPr>
  </w:style>
  <w:style w:type="character" w:customStyle="1" w:styleId="PlainTextChar">
    <w:name w:val="Plain Text Char"/>
    <w:basedOn w:val="a1"/>
    <w:link w:val="a8"/>
    <w:uiPriority w:val="99"/>
    <w:qFormat/>
    <w:locked/>
    <w:rsid w:val="00902DBF"/>
    <w:rPr>
      <w:rFonts w:ascii="宋体" w:hAnsi="Courier New" w:cs="Times New Roman"/>
      <w:kern w:val="2"/>
      <w:sz w:val="21"/>
    </w:rPr>
  </w:style>
  <w:style w:type="character" w:customStyle="1" w:styleId="Char5">
    <w:name w:val="页脚 Char"/>
    <w:basedOn w:val="a1"/>
    <w:link w:val="aa"/>
    <w:uiPriority w:val="99"/>
    <w:semiHidden/>
    <w:qFormat/>
    <w:locked/>
    <w:rsid w:val="00902DBF"/>
    <w:rPr>
      <w:rFonts w:ascii="Times New Roman" w:eastAsia="仿宋_GB2312" w:hAnsi="Times New Roman" w:cs="Times New Roman"/>
      <w:sz w:val="18"/>
    </w:rPr>
  </w:style>
  <w:style w:type="character" w:customStyle="1" w:styleId="Char6">
    <w:name w:val="页眉 Char"/>
    <w:basedOn w:val="a1"/>
    <w:link w:val="ab"/>
    <w:uiPriority w:val="99"/>
    <w:semiHidden/>
    <w:qFormat/>
    <w:locked/>
    <w:rsid w:val="00902DBF"/>
    <w:rPr>
      <w:rFonts w:ascii="Times New Roman" w:eastAsia="仿宋_GB2312" w:hAnsi="Times New Roman" w:cs="Times New Roman"/>
      <w:sz w:val="18"/>
    </w:rPr>
  </w:style>
  <w:style w:type="paragraph" w:customStyle="1" w:styleId="af">
    <w:name w:val="表内文字"/>
    <w:basedOn w:val="a"/>
    <w:uiPriority w:val="99"/>
    <w:qFormat/>
    <w:rsid w:val="00902DBF"/>
    <w:pPr>
      <w:widowControl/>
      <w:adjustRightInd w:val="0"/>
      <w:snapToGrid w:val="0"/>
      <w:spacing w:line="240" w:lineRule="atLeast"/>
      <w:jc w:val="center"/>
    </w:pPr>
    <w:rPr>
      <w:rFonts w:eastAsia="宋体"/>
      <w:kern w:val="0"/>
      <w:sz w:val="21"/>
      <w:szCs w:val="20"/>
    </w:rPr>
  </w:style>
  <w:style w:type="paragraph" w:customStyle="1" w:styleId="9">
    <w:name w:val="9"/>
    <w:basedOn w:val="a"/>
    <w:uiPriority w:val="99"/>
    <w:qFormat/>
    <w:rsid w:val="00902DBF"/>
    <w:pPr>
      <w:spacing w:line="460" w:lineRule="exact"/>
      <w:ind w:firstLineChars="200" w:firstLine="480"/>
    </w:pPr>
    <w:rPr>
      <w:rFonts w:ascii="宋体" w:eastAsia="宋体" w:hAnsi="宋体"/>
      <w:bCs/>
      <w:sz w:val="24"/>
      <w:szCs w:val="24"/>
    </w:rPr>
  </w:style>
  <w:style w:type="character" w:customStyle="1" w:styleId="Char3">
    <w:name w:val="纯文本 Char"/>
    <w:link w:val="a8"/>
    <w:uiPriority w:val="99"/>
    <w:qFormat/>
    <w:locked/>
    <w:rsid w:val="00902DBF"/>
    <w:rPr>
      <w:rFonts w:ascii="宋体" w:eastAsia="仿宋_GB2312" w:hAnsi="Courier New"/>
      <w:kern w:val="2"/>
      <w:sz w:val="28"/>
    </w:rPr>
  </w:style>
  <w:style w:type="paragraph" w:customStyle="1" w:styleId="af0">
    <w:name w:val="正文格式"/>
    <w:link w:val="CharChar"/>
    <w:uiPriority w:val="99"/>
    <w:qFormat/>
    <w:rsid w:val="00902DBF"/>
    <w:pPr>
      <w:spacing w:line="360" w:lineRule="auto"/>
      <w:ind w:firstLineChars="200" w:firstLine="200"/>
    </w:pPr>
    <w:rPr>
      <w:rFonts w:ascii="宋体"/>
      <w:color w:val="000000"/>
      <w:w w:val="110"/>
      <w:sz w:val="22"/>
      <w:szCs w:val="22"/>
    </w:rPr>
  </w:style>
  <w:style w:type="character" w:customStyle="1" w:styleId="CharChar">
    <w:name w:val="正文格式 Char Char"/>
    <w:link w:val="af0"/>
    <w:uiPriority w:val="99"/>
    <w:qFormat/>
    <w:locked/>
    <w:rsid w:val="00902DBF"/>
    <w:rPr>
      <w:rFonts w:ascii="宋体"/>
      <w:color w:val="000000"/>
      <w:w w:val="110"/>
      <w:sz w:val="22"/>
    </w:rPr>
  </w:style>
  <w:style w:type="character" w:customStyle="1" w:styleId="Char">
    <w:name w:val="正文缩进 Char"/>
    <w:link w:val="a4"/>
    <w:uiPriority w:val="99"/>
    <w:qFormat/>
    <w:locked/>
    <w:rsid w:val="00902DBF"/>
    <w:rPr>
      <w:kern w:val="2"/>
      <w:sz w:val="28"/>
    </w:rPr>
  </w:style>
  <w:style w:type="character" w:customStyle="1" w:styleId="15">
    <w:name w:val="15"/>
    <w:uiPriority w:val="99"/>
    <w:qFormat/>
    <w:rsid w:val="00902DBF"/>
    <w:rPr>
      <w:rFonts w:ascii="Times New Roman" w:hAnsi="Times New Roman"/>
    </w:rPr>
  </w:style>
  <w:style w:type="character" w:customStyle="1" w:styleId="2Char">
    <w:name w:val="正文首行缩进 2 Char"/>
    <w:basedOn w:val="Char2"/>
    <w:link w:val="20"/>
    <w:uiPriority w:val="99"/>
    <w:semiHidden/>
    <w:qFormat/>
    <w:locked/>
    <w:rsid w:val="00902DBF"/>
  </w:style>
  <w:style w:type="character" w:customStyle="1" w:styleId="Char0">
    <w:name w:val="批注文字 Char"/>
    <w:basedOn w:val="a1"/>
    <w:link w:val="a5"/>
    <w:uiPriority w:val="99"/>
    <w:semiHidden/>
    <w:qFormat/>
    <w:locked/>
    <w:rsid w:val="00902DBF"/>
    <w:rPr>
      <w:rFonts w:eastAsia="仿宋_GB2312" w:cs="Times New Roman"/>
      <w:sz w:val="32"/>
    </w:rPr>
  </w:style>
  <w:style w:type="character" w:customStyle="1" w:styleId="Char7">
    <w:name w:val="批注主题 Char"/>
    <w:basedOn w:val="Char0"/>
    <w:link w:val="ac"/>
    <w:uiPriority w:val="99"/>
    <w:semiHidden/>
    <w:qFormat/>
    <w:locked/>
    <w:rsid w:val="00902DBF"/>
    <w:rPr>
      <w:b/>
    </w:rPr>
  </w:style>
  <w:style w:type="character" w:customStyle="1" w:styleId="Char4">
    <w:name w:val="批注框文本 Char"/>
    <w:basedOn w:val="a1"/>
    <w:link w:val="a9"/>
    <w:uiPriority w:val="99"/>
    <w:semiHidden/>
    <w:qFormat/>
    <w:locked/>
    <w:rsid w:val="00902DBF"/>
    <w:rPr>
      <w:rFonts w:eastAsia="仿宋_GB2312" w:cs="Times New Roman"/>
      <w:sz w:val="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358</Words>
  <Characters>2041</Characters>
  <Application>Microsoft Office Word</Application>
  <DocSecurity>0</DocSecurity>
  <Lines>17</Lines>
  <Paragraphs>4</Paragraphs>
  <ScaleCrop>false</ScaleCrop>
  <Company/>
  <LinksUpToDate>false</LinksUpToDate>
  <CharactersWithSpaces>2395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45</cp:revision>
  <cp:lastPrinted>2021-09-10T11:53:00Z</cp:lastPrinted>
  <dcterms:created xsi:type="dcterms:W3CDTF">2021-07-27T09:46:00Z</dcterms:created>
  <dcterms:modified xsi:type="dcterms:W3CDTF">2022-02-17T11:15:00Z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C2CB0D6F1E154117A67B44A07D6646C5</vt:lpwstr>
  </property>
</Properties>
</file>