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EB7" w:rsidRDefault="004A5EB7">
      <w:pPr>
        <w:spacing w:line="560" w:lineRule="exact"/>
        <w:rPr>
          <w:rFonts w:eastAsia="黑体"/>
          <w:sz w:val="44"/>
          <w:szCs w:val="44"/>
        </w:rPr>
      </w:pPr>
    </w:p>
    <w:p w:rsidR="004A5EB7" w:rsidRDefault="004A5EB7">
      <w:pPr>
        <w:spacing w:line="560" w:lineRule="exact"/>
        <w:rPr>
          <w:rFonts w:eastAsia="黑体"/>
          <w:sz w:val="44"/>
          <w:szCs w:val="44"/>
        </w:rPr>
      </w:pPr>
    </w:p>
    <w:p w:rsidR="004A5EB7" w:rsidRDefault="004A5EB7">
      <w:pPr>
        <w:spacing w:line="560" w:lineRule="exact"/>
        <w:rPr>
          <w:sz w:val="44"/>
          <w:szCs w:val="44"/>
        </w:rPr>
      </w:pPr>
    </w:p>
    <w:p w:rsidR="004A5EB7" w:rsidRDefault="004A5EB7">
      <w:pPr>
        <w:spacing w:line="560" w:lineRule="exact"/>
        <w:rPr>
          <w:sz w:val="44"/>
          <w:szCs w:val="44"/>
        </w:rPr>
      </w:pPr>
    </w:p>
    <w:p w:rsidR="004A5EB7" w:rsidRDefault="004A5EB7">
      <w:pPr>
        <w:spacing w:line="560" w:lineRule="exact"/>
        <w:rPr>
          <w:sz w:val="44"/>
          <w:szCs w:val="44"/>
        </w:rPr>
      </w:pPr>
    </w:p>
    <w:p w:rsidR="004A5EB7" w:rsidRDefault="004A5EB7">
      <w:pPr>
        <w:spacing w:line="560" w:lineRule="exact"/>
        <w:rPr>
          <w:rFonts w:hint="eastAsia"/>
          <w:sz w:val="44"/>
          <w:szCs w:val="44"/>
        </w:rPr>
      </w:pPr>
    </w:p>
    <w:p w:rsidR="00273A73" w:rsidRPr="00273A73" w:rsidRDefault="00273A73" w:rsidP="00273A73">
      <w:pPr>
        <w:pStyle w:val="Default"/>
      </w:pPr>
    </w:p>
    <w:p w:rsidR="004A5EB7" w:rsidRDefault="0060139B">
      <w:pPr>
        <w:spacing w:line="560" w:lineRule="exact"/>
        <w:rPr>
          <w:sz w:val="44"/>
          <w:szCs w:val="44"/>
        </w:rPr>
      </w:pPr>
      <w:r>
        <w:rPr>
          <w:sz w:val="44"/>
          <w:szCs w:val="44"/>
        </w:rP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60288"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que3jYAAAACgEAAA8AAAAAAAAAAQAgAAAAIgAA&#10;AGRycy9kb3ducmV2LnhtbFBLAQIUABQAAAAIAIdO4kDbWFD/CAIAADYEAAAOAAAAAAAAAAEAIAAA&#10;ACcBAABkcnMvZTJvRG9jLnhtbFBLBQYAAAAABgAGAFkBAAChBQAAAAA=&#10;" strokecolor="white">
            <v:textbox>
              <w:txbxContent>
                <w:p w:rsidR="004A5EB7" w:rsidRDefault="00954FBA">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22</w:t>
                  </w:r>
                  <w:r>
                    <w:rPr>
                      <w:rFonts w:hint="eastAsia"/>
                    </w:rPr>
                    <w:t>〕</w:t>
                  </w:r>
                  <w:r>
                    <w:rPr>
                      <w:rFonts w:hint="eastAsia"/>
                    </w:rPr>
                    <w:t>1</w:t>
                  </w:r>
                  <w:r>
                    <w:rPr>
                      <w:rFonts w:hint="eastAsia"/>
                    </w:rPr>
                    <w:t>号</w:t>
                  </w:r>
                </w:p>
              </w:txbxContent>
            </v:textbox>
          </v:shape>
        </w:pict>
      </w:r>
    </w:p>
    <w:p w:rsidR="004A5EB7" w:rsidRDefault="004A5EB7" w:rsidP="00273A73">
      <w:pPr>
        <w:spacing w:line="560" w:lineRule="exact"/>
      </w:pPr>
    </w:p>
    <w:p w:rsidR="004A5EB7" w:rsidRDefault="00954FBA">
      <w:pPr>
        <w:spacing w:line="640" w:lineRule="exact"/>
        <w:ind w:leftChars="50" w:left="160" w:rightChars="50" w:right="16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w:t>
      </w:r>
      <w:r>
        <w:rPr>
          <w:rFonts w:ascii="方正小标宋简体" w:eastAsia="方正小标宋简体" w:hint="eastAsia"/>
          <w:sz w:val="44"/>
          <w:szCs w:val="44"/>
        </w:rPr>
        <w:t>第一师八团城镇集中供热锅炉房及配套设备安装建设项目</w:t>
      </w:r>
      <w:r>
        <w:rPr>
          <w:rFonts w:ascii="方正小标宋简体" w:eastAsia="方正小标宋简体" w:hAnsi="方正小标宋简体" w:cs="方正小标宋简体" w:hint="eastAsia"/>
          <w:sz w:val="44"/>
          <w:szCs w:val="44"/>
        </w:rPr>
        <w:t>环境影响报告表的批复</w:t>
      </w:r>
    </w:p>
    <w:p w:rsidR="004A5EB7" w:rsidRDefault="004A5EB7">
      <w:pPr>
        <w:adjustRightInd w:val="0"/>
        <w:snapToGrid w:val="0"/>
        <w:spacing w:line="560" w:lineRule="exact"/>
        <w:jc w:val="center"/>
      </w:pPr>
    </w:p>
    <w:p w:rsidR="004A5EB7" w:rsidRDefault="00954FBA">
      <w:pPr>
        <w:adjustRightInd w:val="0"/>
        <w:snapToGrid w:val="0"/>
        <w:spacing w:line="560" w:lineRule="exact"/>
        <w:rPr>
          <w:rFonts w:ascii="仿宋_GB2312" w:hAnsi="仿宋_GB2312" w:cs="仿宋_GB2312"/>
        </w:rPr>
      </w:pPr>
      <w:r>
        <w:rPr>
          <w:rFonts w:ascii="仿宋_GB2312" w:hAnsi="仿宋_GB2312" w:cs="仿宋_GB2312" w:hint="eastAsia"/>
        </w:rPr>
        <w:t>八团城镇管理服务中心：</w:t>
      </w:r>
    </w:p>
    <w:p w:rsidR="004A5EB7" w:rsidRDefault="00954FBA">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你单位报送的《</w:t>
      </w:r>
      <w:r>
        <w:rPr>
          <w:rFonts w:ascii="仿宋_GB2312" w:hAnsi="方正小标宋简体" w:cs="方正小标宋简体" w:hint="eastAsia"/>
        </w:rPr>
        <w:t>关于</w:t>
      </w:r>
      <w:r>
        <w:rPr>
          <w:rFonts w:ascii="仿宋_GB2312" w:hint="eastAsia"/>
        </w:rPr>
        <w:t>第一师八团城镇集中供热锅炉房及配套设备安装建设项目</w:t>
      </w:r>
      <w:r>
        <w:rPr>
          <w:rFonts w:ascii="仿宋_GB2312" w:hAnsi="方正小标宋简体" w:cs="方正小标宋简体" w:hint="eastAsia"/>
        </w:rPr>
        <w:t>环境影响报告表</w:t>
      </w:r>
      <w:r>
        <w:rPr>
          <w:rFonts w:ascii="仿宋_GB2312" w:hAnsi="仿宋_GB2312" w:cs="仿宋_GB2312" w:hint="eastAsia"/>
        </w:rPr>
        <w:t>的请示》及《</w:t>
      </w:r>
      <w:r>
        <w:rPr>
          <w:rFonts w:ascii="仿宋_GB2312" w:hint="eastAsia"/>
        </w:rPr>
        <w:t>第一师八团城镇集中供热锅炉房及配套设备安装建设项目</w:t>
      </w:r>
      <w:r>
        <w:rPr>
          <w:rFonts w:ascii="仿宋_GB2312" w:hAnsi="方正小标宋简体" w:cs="方正小标宋简体" w:hint="eastAsia"/>
        </w:rPr>
        <w:t>环境影响报告表</w:t>
      </w:r>
      <w:r>
        <w:rPr>
          <w:rFonts w:ascii="仿宋_GB2312" w:hAnsi="仿宋_GB2312" w:cs="仿宋_GB2312" w:hint="eastAsia"/>
        </w:rPr>
        <w:t>》（以下简称报告表）收悉。经专家审查和研究，现批复如下：</w:t>
      </w:r>
    </w:p>
    <w:p w:rsidR="004A5EB7" w:rsidRDefault="00954FBA">
      <w:pPr>
        <w:numPr>
          <w:ilvl w:val="0"/>
          <w:numId w:val="1"/>
        </w:numPr>
        <w:spacing w:line="560" w:lineRule="exact"/>
        <w:ind w:firstLineChars="200" w:firstLine="640"/>
        <w:rPr>
          <w:rFonts w:ascii="仿宋_GB2312" w:hAnsi="仿宋_GB2312" w:cs="仿宋_GB2312"/>
        </w:rPr>
      </w:pPr>
      <w:r>
        <w:rPr>
          <w:rFonts w:ascii="仿宋_GB2312" w:hAnsi="仿宋_GB2312" w:cs="仿宋_GB2312" w:hint="eastAsia"/>
        </w:rPr>
        <w:t>该项目位于八团团部，厂址中心地理坐标为北纬40°35′54.317″，东经80°50′33.467″，该项目东侧为居民小区，西侧、北侧、南侧均为绿化带。该项目总占地面积15468.5m</w:t>
      </w:r>
      <w:r>
        <w:rPr>
          <w:rFonts w:ascii="仿宋_GB2312" w:hAnsi="仿宋_GB2312" w:cs="仿宋_GB2312" w:hint="eastAsia"/>
          <w:vertAlign w:val="superscript"/>
        </w:rPr>
        <w:t>2</w:t>
      </w:r>
      <w:r>
        <w:rPr>
          <w:rFonts w:ascii="仿宋_GB2312" w:hAnsi="仿宋_GB2312" w:cs="仿宋_GB2312" w:hint="eastAsia"/>
        </w:rPr>
        <w:t>，主要建设内容：建设</w:t>
      </w:r>
      <w:r>
        <w:rPr>
          <w:rFonts w:ascii="仿宋_GB2312" w:hint="eastAsia"/>
        </w:rPr>
        <w:t>1台45.5MW（65t/a）、保留</w:t>
      </w:r>
      <w:r>
        <w:rPr>
          <w:rFonts w:ascii="仿宋_GB2312" w:hint="eastAsia"/>
          <w:color w:val="000000"/>
        </w:rPr>
        <w:t>一台14MW（20t/h）（备用）的锅炉，建设1套软水装置、SNCR脱硝装置+布袋除尘</w:t>
      </w:r>
      <w:r>
        <w:rPr>
          <w:rFonts w:ascii="仿宋_GB2312" w:hint="eastAsia"/>
          <w:color w:val="000000"/>
        </w:rPr>
        <w:lastRenderedPageBreak/>
        <w:t>器+双碱法脱硫、1座沉淀池、5座换热站及其他配套附属设施。</w:t>
      </w:r>
      <w:r>
        <w:rPr>
          <w:rFonts w:ascii="仿宋_GB2312" w:hAnsi="仿宋_GB2312" w:cs="仿宋_GB2312" w:hint="eastAsia"/>
        </w:rPr>
        <w:t>项目总投资3223.92万元，其中环保投资272万元，占总投资的8.44%。</w:t>
      </w:r>
    </w:p>
    <w:p w:rsidR="004A5EB7" w:rsidRDefault="00954FBA">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二、</w:t>
      </w:r>
      <w:r>
        <w:rPr>
          <w:rFonts w:ascii="仿宋_GB2312" w:hint="eastAsia"/>
        </w:rPr>
        <w:t>该项目属于“未批先建”申请补办环评，</w:t>
      </w:r>
      <w:r>
        <w:rPr>
          <w:rFonts w:ascii="仿宋_GB2312" w:hAnsi="仿宋_GB2312" w:cs="仿宋_GB2312" w:hint="eastAsia"/>
        </w:rPr>
        <w:t>该项目现状</w:t>
      </w:r>
      <w:r>
        <w:rPr>
          <w:rFonts w:ascii="仿宋_GB2312" w:hint="eastAsia"/>
        </w:rPr>
        <w:t>14MW燃煤热水锅炉</w:t>
      </w:r>
      <w:r>
        <w:rPr>
          <w:rFonts w:ascii="仿宋_GB2312" w:hAnsi="仿宋_GB2312" w:cs="仿宋_GB2312" w:hint="eastAsia"/>
        </w:rPr>
        <w:t>已于2012年建成投入运营，</w:t>
      </w:r>
      <w:r>
        <w:rPr>
          <w:rFonts w:ascii="仿宋_GB2312" w:hint="eastAsia"/>
          <w:color w:val="000000"/>
        </w:rPr>
        <w:t>45.5MW（65t/a）锅炉已于2017年建成投入运营</w:t>
      </w:r>
      <w:r>
        <w:rPr>
          <w:rFonts w:ascii="仿宋_GB2312" w:hAnsi="仿宋_GB2312" w:cs="仿宋_GB2312" w:hint="eastAsia"/>
        </w:rPr>
        <w:t>。按照环保部《关于建设项目“未批先建”违法行为法律适用问题的意见》（环政法函〔2018〕31号）未予以处罚。八团必须高度重视，举一反三，重点加强辖区内项目日常监管。</w:t>
      </w:r>
    </w:p>
    <w:p w:rsidR="004A5EB7" w:rsidRDefault="00954FBA">
      <w:pPr>
        <w:adjustRightInd w:val="0"/>
        <w:snapToGrid w:val="0"/>
        <w:spacing w:line="560" w:lineRule="exact"/>
        <w:ind w:firstLineChars="200" w:firstLine="640"/>
        <w:rPr>
          <w:rFonts w:ascii="仿宋_GB2312" w:hAnsi="仿宋_GB2312" w:cs="仿宋_GB2312"/>
          <w:color w:val="000000"/>
        </w:rPr>
      </w:pPr>
      <w:r>
        <w:rPr>
          <w:rFonts w:ascii="仿宋_GB2312" w:hAnsi="仿宋_GB2312" w:cs="仿宋_GB2312" w:hint="eastAsia"/>
        </w:rPr>
        <w:t>三、该项目属于热力生产和供应中，燃煤、燃油锅炉总容量65吨/小时（45.5兆瓦）及以下的项目</w:t>
      </w:r>
      <w:r>
        <w:rPr>
          <w:rFonts w:ascii="仿宋_GB2312" w:hint="eastAsia"/>
          <w:bCs/>
        </w:rPr>
        <w:t>，</w:t>
      </w:r>
      <w:r>
        <w:rPr>
          <w:rFonts w:ascii="仿宋_GB2312" w:hAnsi="仿宋_GB2312" w:cs="仿宋_GB2312" w:hint="eastAsia"/>
        </w:rPr>
        <w:t>我局原则同意报告表的结论。项目经投资主管部门依法审批后，你单位须严格按照报告表所列建设项目的性质、规模、地点、环保</w:t>
      </w:r>
      <w:r>
        <w:rPr>
          <w:rFonts w:ascii="仿宋_GB2312" w:hAnsi="仿宋_GB2312" w:cs="仿宋_GB2312" w:hint="eastAsia"/>
          <w:color w:val="000000"/>
        </w:rPr>
        <w:t>对策措施及要求实施项目建设。</w:t>
      </w:r>
    </w:p>
    <w:p w:rsidR="004A5EB7" w:rsidRDefault="00954FBA">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四、你单位在项目建设和运营中，应严格执行有关环境质量标准和污染物排放标准，认真、全面落实报告表提出的各项环保对策措施和要求，确保污染物达标排放和各环境敏感区满足相应功能要求。重点做好以下工作：</w:t>
      </w:r>
    </w:p>
    <w:p w:rsidR="004A5EB7" w:rsidRDefault="00954FBA">
      <w:pPr>
        <w:spacing w:line="560" w:lineRule="exact"/>
        <w:ind w:firstLineChars="200" w:firstLine="640"/>
        <w:rPr>
          <w:rFonts w:ascii="仿宋_GB2312" w:hAnsi="仿宋_GB2312" w:cs="仿宋_GB2312"/>
          <w:kern w:val="0"/>
        </w:rPr>
      </w:pPr>
      <w:r>
        <w:rPr>
          <w:rFonts w:ascii="仿宋_GB2312" w:hAnsi="仿宋_GB2312" w:cs="仿宋_GB2312" w:hint="eastAsia"/>
        </w:rPr>
        <w:t>（一）</w:t>
      </w:r>
      <w:r>
        <w:rPr>
          <w:rFonts w:ascii="仿宋_GB2312" w:hAnsi="仿宋_GB2312" w:cs="仿宋_GB2312" w:hint="eastAsia"/>
          <w:snapToGrid w:val="0"/>
        </w:rPr>
        <w:t>严格落实大气污染防治措施。</w:t>
      </w:r>
      <w:r>
        <w:rPr>
          <w:rFonts w:ascii="仿宋_GB2312" w:hAnsi="仿宋_GB2312" w:cs="仿宋_GB2312" w:hint="eastAsia"/>
        </w:rPr>
        <w:t>项目运营期废气主要为</w:t>
      </w:r>
      <w:r>
        <w:rPr>
          <w:rFonts w:ascii="仿宋_GB2312" w:hAnsi="仿宋_GB2312" w:cs="仿宋_GB2312" w:hint="eastAsia"/>
          <w:spacing w:val="-12"/>
        </w:rPr>
        <w:t>烟尘、SO</w:t>
      </w:r>
      <w:r>
        <w:rPr>
          <w:rFonts w:ascii="仿宋_GB2312" w:hAnsi="仿宋_GB2312" w:cs="仿宋_GB2312" w:hint="eastAsia"/>
          <w:spacing w:val="-12"/>
          <w:vertAlign w:val="subscript"/>
        </w:rPr>
        <w:t>2</w:t>
      </w:r>
      <w:r>
        <w:rPr>
          <w:rFonts w:ascii="仿宋_GB2312" w:hAnsi="仿宋_GB2312" w:cs="仿宋_GB2312" w:hint="eastAsia"/>
          <w:spacing w:val="-12"/>
        </w:rPr>
        <w:t>和NOx的</w:t>
      </w:r>
      <w:r>
        <w:rPr>
          <w:rFonts w:ascii="仿宋_GB2312" w:hAnsi="仿宋_GB2312" w:cs="仿宋_GB2312" w:hint="eastAsia"/>
        </w:rPr>
        <w:t>锅炉烟气、汞及其化合物、煤场、灰渣场扬尘。锅炉烟气采用</w:t>
      </w:r>
      <w:r w:rsidR="00273A73">
        <w:rPr>
          <w:rFonts w:ascii="仿宋_GB2312" w:hint="eastAsia"/>
          <w:color w:val="000000"/>
        </w:rPr>
        <w:t>SNCR脱硝装置+布袋除尘器+双碱法脱硫</w:t>
      </w:r>
      <w:r>
        <w:rPr>
          <w:rFonts w:ascii="仿宋_GB2312" w:hAnsi="仿宋_GB2312" w:cs="仿宋_GB2312" w:hint="eastAsia"/>
        </w:rPr>
        <w:t>，大气污染物排放浓度满足《锅炉大气污染物排放标准》（GB13271-2014）</w:t>
      </w:r>
      <w:r>
        <w:rPr>
          <w:rFonts w:ascii="仿宋_GB2312" w:hAnsi="仿宋_GB2312" w:cs="仿宋_GB2312" w:hint="eastAsia"/>
        </w:rPr>
        <w:lastRenderedPageBreak/>
        <w:t>中表2新建锅炉大气污染物排放限值的要求（烟尘：50mg/m</w:t>
      </w:r>
      <w:r>
        <w:rPr>
          <w:rFonts w:ascii="仿宋_GB2312" w:hAnsi="仿宋_GB2312" w:cs="仿宋_GB2312" w:hint="eastAsia"/>
          <w:vertAlign w:val="superscript"/>
        </w:rPr>
        <w:t>3</w:t>
      </w:r>
      <w:r>
        <w:rPr>
          <w:rFonts w:ascii="仿宋_GB2312" w:hAnsi="仿宋_GB2312" w:cs="仿宋_GB2312" w:hint="eastAsia"/>
        </w:rPr>
        <w:t>，SO</w:t>
      </w:r>
      <w:r>
        <w:rPr>
          <w:rFonts w:ascii="仿宋_GB2312" w:hAnsi="仿宋_GB2312" w:cs="仿宋_GB2312" w:hint="eastAsia"/>
          <w:vertAlign w:val="subscript"/>
        </w:rPr>
        <w:t>2</w:t>
      </w:r>
      <w:r>
        <w:rPr>
          <w:rFonts w:ascii="仿宋_GB2312" w:hAnsi="仿宋_GB2312" w:cs="仿宋_GB2312" w:hint="eastAsia"/>
        </w:rPr>
        <w:t>：300 mg/m</w:t>
      </w:r>
      <w:r>
        <w:rPr>
          <w:rFonts w:ascii="仿宋_GB2312" w:hAnsi="仿宋_GB2312" w:cs="仿宋_GB2312" w:hint="eastAsia"/>
          <w:vertAlign w:val="superscript"/>
        </w:rPr>
        <w:t>3</w:t>
      </w:r>
      <w:r>
        <w:rPr>
          <w:rFonts w:ascii="仿宋_GB2312" w:hAnsi="仿宋_GB2312" w:cs="仿宋_GB2312" w:hint="eastAsia"/>
        </w:rPr>
        <w:t>，NO</w:t>
      </w:r>
      <w:r>
        <w:rPr>
          <w:rFonts w:ascii="仿宋_GB2312" w:hAnsi="仿宋_GB2312" w:cs="仿宋_GB2312" w:hint="eastAsia"/>
          <w:vertAlign w:val="subscript"/>
        </w:rPr>
        <w:t>X</w:t>
      </w:r>
      <w:r>
        <w:rPr>
          <w:rFonts w:ascii="仿宋_GB2312" w:hAnsi="仿宋_GB2312" w:cs="仿宋_GB2312" w:hint="eastAsia"/>
        </w:rPr>
        <w:t>：300 mg/m</w:t>
      </w:r>
      <w:r>
        <w:rPr>
          <w:rFonts w:ascii="仿宋_GB2312" w:hAnsi="仿宋_GB2312" w:cs="仿宋_GB2312" w:hint="eastAsia"/>
          <w:vertAlign w:val="superscript"/>
        </w:rPr>
        <w:t>3</w:t>
      </w:r>
      <w:r>
        <w:rPr>
          <w:rFonts w:ascii="仿宋_GB2312" w:hAnsi="仿宋_GB2312" w:cs="仿宋_GB2312" w:hint="eastAsia"/>
        </w:rPr>
        <w:t>）后，经50m高烟囱排放；煤场、灰渣场的无组织粉尘</w:t>
      </w:r>
      <w:r>
        <w:rPr>
          <w:rFonts w:ascii="仿宋_GB2312" w:hAnsi="仿宋_GB2312" w:cs="仿宋_GB2312" w:hint="eastAsia"/>
          <w:kern w:val="0"/>
        </w:rPr>
        <w:t>通过</w:t>
      </w:r>
      <w:r>
        <w:rPr>
          <w:rFonts w:ascii="仿宋_GB2312" w:hint="eastAsia"/>
        </w:rPr>
        <w:t>对储煤场进行全封闭，储煤场四周设置喷水装置，定期洒水降尘等措施</w:t>
      </w:r>
      <w:r>
        <w:rPr>
          <w:rFonts w:ascii="仿宋_GB2312" w:hAnsi="仿宋_GB2312" w:cs="仿宋_GB2312" w:hint="eastAsia"/>
          <w:kern w:val="0"/>
        </w:rPr>
        <w:t>，满足《大气污染物综合排放标准》（GB16297－1996）中无组织排放源周界外浓度标准限值要求（1.0mg/m</w:t>
      </w:r>
      <w:r>
        <w:rPr>
          <w:rFonts w:ascii="仿宋_GB2312" w:hAnsi="仿宋_GB2312" w:cs="仿宋_GB2312" w:hint="eastAsia"/>
          <w:kern w:val="0"/>
          <w:vertAlign w:val="superscript"/>
        </w:rPr>
        <w:t>3</w:t>
      </w:r>
      <w:r>
        <w:rPr>
          <w:rFonts w:ascii="仿宋_GB2312" w:hAnsi="仿宋_GB2312" w:cs="仿宋_GB2312" w:hint="eastAsia"/>
          <w:kern w:val="0"/>
        </w:rPr>
        <w:t>）。该项目排放总量控制指标为：</w:t>
      </w:r>
      <w:r>
        <w:rPr>
          <w:rFonts w:ascii="仿宋_GB2312" w:hAnsi="仿宋_GB2312" w:cs="仿宋_GB2312" w:hint="eastAsia"/>
          <w:spacing w:val="-12"/>
        </w:rPr>
        <w:t>SO</w:t>
      </w:r>
      <w:r>
        <w:rPr>
          <w:rFonts w:ascii="仿宋_GB2312" w:hAnsi="仿宋_GB2312" w:cs="仿宋_GB2312" w:hint="eastAsia"/>
          <w:spacing w:val="-12"/>
          <w:vertAlign w:val="subscript"/>
        </w:rPr>
        <w:t>2</w:t>
      </w:r>
      <w:r>
        <w:rPr>
          <w:rFonts w:ascii="仿宋_GB2312" w:hAnsi="仿宋_GB2312" w:cs="仿宋_GB2312" w:hint="eastAsia"/>
          <w:spacing w:val="-11"/>
        </w:rPr>
        <w:t>排放量不超过</w:t>
      </w:r>
      <w:r>
        <w:rPr>
          <w:rFonts w:ascii="仿宋_GB2312" w:hint="eastAsia"/>
          <w:snapToGrid w:val="0"/>
        </w:rPr>
        <w:t>11.648t/a</w:t>
      </w:r>
      <w:r>
        <w:rPr>
          <w:rFonts w:ascii="仿宋_GB2312" w:hAnsi="仿宋_GB2312" w:cs="仿宋_GB2312" w:hint="eastAsia"/>
          <w:spacing w:val="-11"/>
        </w:rPr>
        <w:t>，</w:t>
      </w:r>
      <w:r>
        <w:rPr>
          <w:rFonts w:ascii="仿宋_GB2312" w:hAnsi="仿宋_GB2312" w:cs="仿宋_GB2312" w:hint="eastAsia"/>
          <w:spacing w:val="-12"/>
        </w:rPr>
        <w:t>NOx 排放量不超过</w:t>
      </w:r>
      <w:r>
        <w:rPr>
          <w:rFonts w:ascii="仿宋_GB2312" w:hint="eastAsia"/>
          <w:snapToGrid w:val="0"/>
        </w:rPr>
        <w:t>22.93t/a，颗粒物排放量不超过</w:t>
      </w:r>
      <w:r>
        <w:rPr>
          <w:rFonts w:ascii="仿宋_GB2312" w:hint="eastAsia"/>
        </w:rPr>
        <w:t>3.432t/a</w:t>
      </w:r>
      <w:r>
        <w:rPr>
          <w:rFonts w:ascii="仿宋_GB2312" w:hAnsi="仿宋_GB2312" w:cs="仿宋_GB2312" w:hint="eastAsia"/>
          <w:spacing w:val="-11"/>
        </w:rPr>
        <w:t>。</w:t>
      </w:r>
    </w:p>
    <w:p w:rsidR="004A5EB7" w:rsidRDefault="00954FBA">
      <w:pPr>
        <w:pStyle w:val="a4"/>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（二）严格落实水污染防治措施。废水主要为生产过程中的</w:t>
      </w:r>
      <w:r>
        <w:rPr>
          <w:rFonts w:ascii="仿宋_GB2312" w:eastAsia="仿宋_GB2312" w:hint="eastAsia"/>
          <w:bCs/>
          <w:sz w:val="32"/>
          <w:szCs w:val="32"/>
        </w:rPr>
        <w:t>锅炉排污水、软水系统反冲洗水、生活污水</w:t>
      </w:r>
      <w:r>
        <w:rPr>
          <w:rFonts w:ascii="仿宋_GB2312" w:eastAsia="仿宋_GB2312" w:hAnsi="仿宋_GB2312" w:cs="仿宋_GB2312" w:hint="eastAsia"/>
          <w:sz w:val="32"/>
          <w:szCs w:val="32"/>
        </w:rPr>
        <w:t>。</w:t>
      </w:r>
      <w:r>
        <w:rPr>
          <w:rFonts w:ascii="仿宋_GB2312" w:eastAsia="仿宋_GB2312" w:hint="eastAsia"/>
          <w:bCs/>
          <w:sz w:val="32"/>
          <w:szCs w:val="32"/>
        </w:rPr>
        <w:t>其中锅炉排污水、软水系统反冲洗水等生产废水全部排入厂区沉淀池内，经沉淀后澄清液回用于脱硫系统和除渣系统，不外排；</w:t>
      </w:r>
      <w:r>
        <w:rPr>
          <w:rFonts w:ascii="仿宋_GB2312" w:eastAsia="仿宋_GB2312" w:hAnsi="仿宋_GB2312" w:cs="仿宋_GB2312" w:hint="eastAsia"/>
          <w:sz w:val="32"/>
          <w:szCs w:val="32"/>
        </w:rPr>
        <w:t>生活污水经预处理达到</w:t>
      </w:r>
      <w:r>
        <w:rPr>
          <w:rFonts w:ascii="仿宋_GB2312" w:eastAsia="仿宋_GB2312" w:hint="eastAsia"/>
          <w:bCs/>
          <w:sz w:val="32"/>
          <w:szCs w:val="32"/>
        </w:rPr>
        <w:t>《污水综合排放标准》（GB8978-1996）中三级标准后</w:t>
      </w:r>
      <w:r>
        <w:rPr>
          <w:rFonts w:ascii="仿宋_GB2312" w:eastAsia="仿宋_GB2312" w:hAnsi="仿宋_GB2312" w:cs="仿宋_GB2312" w:hint="eastAsia"/>
          <w:sz w:val="32"/>
          <w:szCs w:val="32"/>
        </w:rPr>
        <w:t>，排入八团镇污水处理厂进一步处理。</w:t>
      </w:r>
    </w:p>
    <w:p w:rsidR="004A5EB7" w:rsidRDefault="00954FBA">
      <w:pPr>
        <w:adjustRightInd w:val="0"/>
        <w:snapToGrid w:val="0"/>
        <w:spacing w:line="560" w:lineRule="exact"/>
        <w:ind w:firstLineChars="200" w:firstLine="640"/>
        <w:rPr>
          <w:rFonts w:ascii="仿宋_GB2312" w:hAnsi="仿宋_GB2312" w:cs="仿宋_GB2312"/>
          <w:color w:val="000000"/>
        </w:rPr>
      </w:pPr>
      <w:r>
        <w:rPr>
          <w:rFonts w:ascii="仿宋_GB2312" w:hAnsi="仿宋_GB2312" w:cs="仿宋_GB2312" w:hint="eastAsia"/>
        </w:rPr>
        <w:t>（三）严格落实固体废物分类处置和分类利用措施。</w:t>
      </w:r>
      <w:r>
        <w:rPr>
          <w:rFonts w:ascii="仿宋_GB2312" w:hAnsi="仿宋_GB2312" w:cs="仿宋_GB2312" w:hint="eastAsia"/>
          <w:color w:val="000000"/>
        </w:rPr>
        <w:t>项目固体废物主要包括锅炉灰渣、除尘器收集的粉煤灰、脱硫石膏、废树脂、废包装、废布袋、废含油抹布手套、生活垃圾。锅炉灰渣、除尘器收集的粉煤灰和脱硫石膏经集中收集后外售综合利用；</w:t>
      </w:r>
      <w:r>
        <w:rPr>
          <w:rFonts w:ascii="仿宋_GB2312" w:hint="eastAsia"/>
        </w:rPr>
        <w:t>废树脂经收集后交由厂家回收；</w:t>
      </w:r>
      <w:r>
        <w:rPr>
          <w:rFonts w:ascii="仿宋_GB2312" w:hAnsi="仿宋_GB2312" w:cs="仿宋_GB2312" w:hint="eastAsia"/>
          <w:color w:val="000000"/>
        </w:rPr>
        <w:t>废包装</w:t>
      </w:r>
      <w:r>
        <w:rPr>
          <w:rFonts w:ascii="仿宋_GB2312" w:hint="eastAsia"/>
        </w:rPr>
        <w:t>、</w:t>
      </w:r>
      <w:r>
        <w:rPr>
          <w:rFonts w:ascii="仿宋_GB2312" w:hAnsi="仿宋_GB2312" w:cs="仿宋_GB2312" w:hint="eastAsia"/>
          <w:color w:val="000000"/>
        </w:rPr>
        <w:t>废布袋、废含油抹布手套、生活垃圾集中收集后交由环卫部门处置。</w:t>
      </w:r>
    </w:p>
    <w:p w:rsidR="004A5EB7" w:rsidRDefault="00954FBA">
      <w:pPr>
        <w:adjustRightInd w:val="0"/>
        <w:snapToGrid w:val="0"/>
        <w:spacing w:line="560" w:lineRule="exact"/>
        <w:ind w:firstLineChars="200" w:firstLine="640"/>
        <w:rPr>
          <w:rFonts w:ascii="仿宋_GB2312" w:hAnsi="仿宋_GB2312" w:cs="仿宋_GB2312"/>
          <w:color w:val="000000"/>
        </w:rPr>
      </w:pPr>
      <w:r>
        <w:rPr>
          <w:rFonts w:ascii="仿宋_GB2312" w:hAnsi="仿宋_GB2312" w:cs="仿宋_GB2312" w:hint="eastAsia"/>
          <w:color w:val="000000"/>
        </w:rPr>
        <w:t>（四）</w:t>
      </w:r>
      <w:r>
        <w:rPr>
          <w:rFonts w:ascii="仿宋_GB2312" w:hAnsi="仿宋_GB2312" w:cs="仿宋_GB2312" w:hint="eastAsia"/>
          <w:snapToGrid w:val="0"/>
        </w:rPr>
        <w:t>严格落实噪音污染防治措施。项目噪声主要来源于燃烧器、补水泵、循环水泵、鼓风机、引风机等设备。</w:t>
      </w:r>
      <w:r>
        <w:rPr>
          <w:rFonts w:ascii="仿宋_GB2312" w:hAnsi="仿宋_GB2312" w:cs="仿宋_GB2312" w:hint="eastAsia"/>
          <w:color w:val="000000"/>
        </w:rPr>
        <w:t>本项目运行</w:t>
      </w:r>
      <w:r>
        <w:rPr>
          <w:rFonts w:ascii="仿宋_GB2312" w:hAnsi="仿宋_GB2312" w:cs="仿宋_GB2312" w:hint="eastAsia"/>
          <w:color w:val="000000"/>
        </w:rPr>
        <w:lastRenderedPageBreak/>
        <w:t>后，锅炉鼓风机、引风机、水泵等均安装在设备间内，</w:t>
      </w:r>
      <w:r>
        <w:rPr>
          <w:rFonts w:ascii="仿宋_GB2312" w:hint="eastAsia"/>
          <w:bCs/>
        </w:rPr>
        <w:t>通过合理布局、选用低噪设备、</w:t>
      </w:r>
      <w:r>
        <w:rPr>
          <w:rFonts w:ascii="仿宋_GB2312" w:hAnsi="仿宋_GB2312" w:cs="仿宋_GB2312" w:hint="eastAsia"/>
          <w:color w:val="000000"/>
        </w:rPr>
        <w:t>经隔声、减震及距离衰减后，厂界噪声满足《工业企业厂界环境噪声排放标准》（GB12348-2008）2类标准要求[昼间60dB（A）,夜间50dB（A）]。</w:t>
      </w:r>
    </w:p>
    <w:p w:rsidR="004A5EB7" w:rsidRDefault="00954FBA">
      <w:pPr>
        <w:adjustRightInd w:val="0"/>
        <w:snapToGrid w:val="0"/>
        <w:spacing w:line="560" w:lineRule="exact"/>
        <w:ind w:firstLineChars="200" w:firstLine="640"/>
        <w:textAlignment w:val="baseline"/>
        <w:rPr>
          <w:rFonts w:ascii="仿宋_GB2312" w:hAnsi="仿宋" w:cs="仿宋"/>
        </w:rPr>
      </w:pPr>
      <w:r>
        <w:rPr>
          <w:rFonts w:ascii="仿宋_GB2312" w:hAnsi="仿宋_GB2312" w:cs="仿宋_GB2312" w:hint="eastAsia"/>
          <w:color w:val="000000"/>
        </w:rPr>
        <w:t>（五）</w:t>
      </w:r>
      <w:r>
        <w:rPr>
          <w:rFonts w:ascii="仿宋_GB2312" w:hAnsi="仿宋_GB2312" w:cs="仿宋_GB2312" w:hint="eastAsia"/>
        </w:rPr>
        <w:t>加强项目环境风险防范。建立严格的环境风险管理制度，认真落实报告表提出的各项风险防范措施；制定相关应急预案，编制《突发环境事件应急预案》报环保主管部门备案，确保不发生环境污染事故；做好和地方环境应急预案的衔接，定期开展突发环境事件应急演练，及时对环境应急预案进行完善。</w:t>
      </w:r>
    </w:p>
    <w:p w:rsidR="004A5EB7" w:rsidRDefault="00954FBA">
      <w:pPr>
        <w:pStyle w:val="a3"/>
        <w:adjustRightInd w:val="0"/>
        <w:snapToGrid w:val="0"/>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五、</w:t>
      </w:r>
      <w:r>
        <w:rPr>
          <w:rFonts w:ascii="仿宋_GB2312" w:eastAsia="仿宋_GB2312" w:hint="eastAsia"/>
        </w:rPr>
        <w:t>你单位须严格执行环保“三同时”制度，建设项目竣工后，建设单位应当按照国务院环境保护行政主管部门规定的标准和程序，对配套建设的环境保护设施进行验收，编制验收报告，验收报告编制完成后5个工作日内在相关网站进行公开，公示期限不得少于20个工作日，并向我局报送相关信息；验收报告公示期满后5个工作日内，建设单位应当登录“全国建设项目竣工环境保护验收信息平台”（网址为http://114.251.10.205），填报建设项目基本信息、环境保护设施验收情况等相关信息。</w:t>
      </w:r>
    </w:p>
    <w:p w:rsidR="004A5EB7" w:rsidRDefault="00954FBA">
      <w:pPr>
        <w:adjustRightInd w:val="0"/>
        <w:snapToGrid w:val="0"/>
        <w:spacing w:line="560" w:lineRule="exact"/>
        <w:ind w:firstLine="630"/>
        <w:rPr>
          <w:rFonts w:ascii="仿宋_GB2312"/>
        </w:rPr>
      </w:pPr>
      <w:r>
        <w:rPr>
          <w:rFonts w:ascii="仿宋_GB2312" w:hAnsi="仿宋_GB2312" w:cs="仿宋_GB2312" w:hint="eastAsia"/>
        </w:rPr>
        <w:t>六、</w:t>
      </w:r>
      <w:r>
        <w:rPr>
          <w:rFonts w:ascii="仿宋_GB2312" w:hint="eastAsia"/>
        </w:rPr>
        <w:t>你单位须严格按照《排污许可证管理暂行规定》要求，在投入生产或使用并产生实际排污行为之前申请领取排污许可证或进行排污登记。</w:t>
      </w:r>
    </w:p>
    <w:p w:rsidR="004A5EB7" w:rsidRDefault="00954FBA">
      <w:pPr>
        <w:adjustRightInd w:val="0"/>
        <w:snapToGrid w:val="0"/>
        <w:spacing w:line="560" w:lineRule="exact"/>
        <w:ind w:firstLineChars="200" w:firstLine="640"/>
        <w:rPr>
          <w:rFonts w:ascii="仿宋_GB2312"/>
        </w:rPr>
      </w:pPr>
      <w:r>
        <w:rPr>
          <w:rFonts w:ascii="仿宋_GB2312" w:hAnsi="仿宋_GB2312" w:cs="仿宋_GB2312" w:hint="eastAsia"/>
        </w:rPr>
        <w:t>七、</w:t>
      </w:r>
      <w:r>
        <w:rPr>
          <w:rFonts w:ascii="仿宋_GB2312" w:hint="eastAsia"/>
        </w:rPr>
        <w:t>根据《中华人民共和国环境影响评价法》等相关环保法律法规的规定，若项目性质、规模、地点、采用的防治污染、防</w:t>
      </w:r>
      <w:r>
        <w:rPr>
          <w:rFonts w:ascii="仿宋_GB2312" w:hint="eastAsia"/>
        </w:rPr>
        <w:lastRenderedPageBreak/>
        <w:t>止生态破坏的措施等发生重大变化时，应依法重新报批环评文件。自批准之日起5年内未开工建设的，其环评文件应当报我局重新审核。在项目建设、运行过程中产生不符合经审批的环评文件情形的，应依法重新办理相关环保手续。</w:t>
      </w:r>
    </w:p>
    <w:p w:rsidR="004A5EB7" w:rsidRDefault="00954FBA">
      <w:pPr>
        <w:adjustRightInd w:val="0"/>
        <w:snapToGrid w:val="0"/>
        <w:spacing w:line="560" w:lineRule="exact"/>
        <w:ind w:firstLineChars="200" w:firstLine="640"/>
        <w:rPr>
          <w:rFonts w:ascii="仿宋_GB2312"/>
        </w:rPr>
      </w:pPr>
      <w:r>
        <w:rPr>
          <w:rFonts w:ascii="仿宋_GB2312" w:hint="eastAsia"/>
        </w:rPr>
        <w:t>八、</w:t>
      </w:r>
      <w:r>
        <w:rPr>
          <w:rFonts w:ascii="仿宋_GB2312" w:hAnsi="Helvetica" w:cs="Helvetica" w:hint="eastAsia"/>
        </w:rPr>
        <w:t>八团（塔门镇）</w:t>
      </w:r>
      <w:r>
        <w:rPr>
          <w:rFonts w:ascii="仿宋_GB2312" w:hAnsi="仿宋_GB2312" w:cs="仿宋_GB2312" w:hint="eastAsia"/>
        </w:rPr>
        <w:t>按照《关于印发&lt;第一师阿拉尔市生态环境保护工作职责暂行规定（试行）&gt;的通知》（师市环委办发〔2020〕1号）要求</w:t>
      </w:r>
      <w:r>
        <w:rPr>
          <w:rFonts w:ascii="仿宋_GB2312" w:hAnsi="仿宋_GB2312" w:hint="eastAsia"/>
        </w:rPr>
        <w:t>，做好该项目环境监管</w:t>
      </w:r>
      <w:r>
        <w:rPr>
          <w:rFonts w:ascii="仿宋_GB2312" w:hint="eastAsia"/>
        </w:rPr>
        <w:t>工作，师市生态环境综合行政执法支队做好该项目的抽查日常监督管理工作。</w:t>
      </w:r>
    </w:p>
    <w:p w:rsidR="004A5EB7" w:rsidRDefault="004A5EB7">
      <w:pPr>
        <w:spacing w:line="560" w:lineRule="exact"/>
        <w:ind w:right="640" w:firstLineChars="1300" w:firstLine="4160"/>
        <w:rPr>
          <w:rFonts w:ascii="仿宋_GB2312" w:hAnsi="仿宋_GB2312" w:cs="仿宋_GB2312"/>
        </w:rPr>
      </w:pPr>
    </w:p>
    <w:p w:rsidR="004A5EB7" w:rsidRDefault="004A5EB7">
      <w:pPr>
        <w:spacing w:line="560" w:lineRule="exact"/>
        <w:ind w:right="640" w:firstLineChars="1300" w:firstLine="4160"/>
        <w:rPr>
          <w:rFonts w:ascii="仿宋_GB2312" w:hAnsi="仿宋_GB2312" w:cs="仿宋_GB2312"/>
        </w:rPr>
      </w:pPr>
    </w:p>
    <w:p w:rsidR="004A5EB7" w:rsidRDefault="00954FBA">
      <w:pPr>
        <w:spacing w:line="560" w:lineRule="exact"/>
        <w:ind w:right="640" w:firstLineChars="1300" w:firstLine="4160"/>
        <w:rPr>
          <w:rFonts w:ascii="仿宋_GB2312" w:hAnsi="仿宋_GB2312" w:cs="仿宋_GB2312"/>
        </w:rPr>
      </w:pPr>
      <w:r>
        <w:rPr>
          <w:rFonts w:ascii="仿宋_GB2312" w:hAnsi="仿宋_GB2312" w:cs="仿宋_GB2312" w:hint="eastAsia"/>
        </w:rPr>
        <w:t>第一师阿拉尔市生态环境局</w:t>
      </w:r>
    </w:p>
    <w:p w:rsidR="004A5EB7" w:rsidRDefault="00954FBA">
      <w:pPr>
        <w:spacing w:line="560" w:lineRule="exact"/>
        <w:ind w:right="640" w:firstLineChars="1700" w:firstLine="5440"/>
        <w:rPr>
          <w:rFonts w:ascii="仿宋_GB2312"/>
          <w:kern w:val="0"/>
        </w:rPr>
      </w:pPr>
      <w:r>
        <w:rPr>
          <w:rFonts w:ascii="仿宋_GB2312" w:hAnsi="仿宋_GB2312" w:cs="仿宋_GB2312" w:hint="eastAsia"/>
        </w:rPr>
        <w:t>2022年1月7日</w:t>
      </w: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4A5EB7">
      <w:pPr>
        <w:pStyle w:val="Default"/>
        <w:rPr>
          <w:rFonts w:hint="default"/>
        </w:rPr>
      </w:pPr>
    </w:p>
    <w:p w:rsidR="004A5EB7" w:rsidRDefault="0060139B">
      <w:pPr>
        <w:tabs>
          <w:tab w:val="left" w:pos="312"/>
        </w:tabs>
        <w:spacing w:line="560" w:lineRule="exact"/>
        <w:ind w:firstLineChars="50" w:firstLine="160"/>
        <w:rPr>
          <w:sz w:val="28"/>
          <w:szCs w:val="28"/>
        </w:rPr>
      </w:pPr>
      <w:r w:rsidRPr="0060139B">
        <w:pict>
          <v:line id="_x0000_s1031" style="position:absolute;left:0;text-align:left;flip:y;z-index:251661312" from=".75pt,3.65pt" to="440.25pt,4.35pt"/>
        </w:pict>
      </w:r>
      <w:r w:rsidR="00954FBA">
        <w:rPr>
          <w:rFonts w:hint="eastAsia"/>
          <w:sz w:val="28"/>
          <w:szCs w:val="28"/>
        </w:rPr>
        <w:t>抄送：师市相关领导，发改委、自然资源和规划局、住建局、八团（塔门镇）、生态环境综合行政执法支队，阿克苏地区新地矿产资源开发有限责任公司</w:t>
      </w:r>
      <w:bookmarkStart w:id="0" w:name="_GoBack"/>
      <w:bookmarkEnd w:id="0"/>
      <w:r w:rsidR="00954FBA">
        <w:rPr>
          <w:rFonts w:hint="eastAsia"/>
          <w:sz w:val="28"/>
          <w:szCs w:val="28"/>
        </w:rPr>
        <w:t>。</w:t>
      </w:r>
    </w:p>
    <w:p w:rsidR="004A5EB7" w:rsidRDefault="0060139B">
      <w:pPr>
        <w:tabs>
          <w:tab w:val="left" w:pos="312"/>
        </w:tabs>
        <w:spacing w:line="560" w:lineRule="exact"/>
        <w:ind w:firstLineChars="50" w:firstLine="140"/>
        <w:rPr>
          <w:sz w:val="28"/>
          <w:szCs w:val="28"/>
        </w:rPr>
      </w:pPr>
      <w:r>
        <w:rPr>
          <w:sz w:val="28"/>
          <w:szCs w:val="28"/>
        </w:rPr>
        <w:pict>
          <v:line id="_x0000_s1033" style="position:absolute;left:0;text-align:left;flip:y;z-index:251663360" from="0,31.95pt" to="438.7pt,33.4pt"/>
        </w:pict>
      </w:r>
      <w:r>
        <w:rPr>
          <w:sz w:val="28"/>
          <w:szCs w:val="28"/>
        </w:rPr>
        <w:pict>
          <v:line id="_x0000_s1032" style="position:absolute;left:0;text-align:left;flip:y;z-index:251662336" from="2.25pt,3.3pt" to="438.7pt,4pt"/>
        </w:pict>
      </w:r>
      <w:r w:rsidR="00954FBA">
        <w:rPr>
          <w:rFonts w:hint="eastAsia"/>
          <w:sz w:val="28"/>
          <w:szCs w:val="28"/>
        </w:rPr>
        <w:t>第一师阿拉尔市生态环境局</w:t>
      </w:r>
      <w:r w:rsidR="00FE3BE4">
        <w:rPr>
          <w:rFonts w:hint="eastAsia"/>
          <w:sz w:val="28"/>
          <w:szCs w:val="28"/>
        </w:rPr>
        <w:t xml:space="preserve">               2022</w:t>
      </w:r>
      <w:r w:rsidR="00954FBA">
        <w:rPr>
          <w:rFonts w:hint="eastAsia"/>
          <w:sz w:val="28"/>
          <w:szCs w:val="28"/>
        </w:rPr>
        <w:t>年</w:t>
      </w:r>
      <w:r w:rsidR="00954FBA">
        <w:rPr>
          <w:rFonts w:hint="eastAsia"/>
          <w:sz w:val="28"/>
          <w:szCs w:val="28"/>
        </w:rPr>
        <w:t>1</w:t>
      </w:r>
      <w:r w:rsidR="00954FBA">
        <w:rPr>
          <w:rFonts w:hint="eastAsia"/>
          <w:sz w:val="28"/>
          <w:szCs w:val="28"/>
        </w:rPr>
        <w:t>月</w:t>
      </w:r>
      <w:r w:rsidR="00954FBA">
        <w:rPr>
          <w:rFonts w:hint="eastAsia"/>
          <w:sz w:val="28"/>
          <w:szCs w:val="28"/>
        </w:rPr>
        <w:t>7</w:t>
      </w:r>
      <w:r w:rsidR="00954FBA">
        <w:rPr>
          <w:rFonts w:hint="eastAsia"/>
          <w:sz w:val="28"/>
          <w:szCs w:val="28"/>
        </w:rPr>
        <w:t>日印发</w:t>
      </w:r>
    </w:p>
    <w:sectPr w:rsidR="004A5EB7" w:rsidSect="004A5EB7">
      <w:footerReference w:type="default" r:id="rId8"/>
      <w:pgSz w:w="11906" w:h="16838"/>
      <w:pgMar w:top="2098" w:right="1474" w:bottom="1985"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867" w:rsidRDefault="00BF5867" w:rsidP="004A5EB7">
      <w:r>
        <w:separator/>
      </w:r>
    </w:p>
  </w:endnote>
  <w:endnote w:type="continuationSeparator" w:id="1">
    <w:p w:rsidR="00BF5867" w:rsidRDefault="00BF5867" w:rsidP="004A5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libri Light">
    <w:altName w:val="Times New Roman"/>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B7" w:rsidRDefault="0060139B">
    <w:pPr>
      <w:pStyle w:val="a5"/>
    </w:pPr>
    <w:r>
      <w:pict>
        <v:shapetype id="_x0000_t202" coordsize="21600,21600" o:spt="202" path="m,l,21600r21600,l21600,xe">
          <v:stroke joinstyle="miter"/>
          <v:path gradientshapeok="t" o:connecttype="rect"/>
        </v:shapetype>
        <v:shape id="_x0000_s2049" type="#_x0000_t202" style="position:absolute;margin-left:383.15pt;margin-top:-2.3pt;width:2in;height:2in;z-index:251659264;mso-wrap-style:none;mso-position-horizontal-relative:margin" o:gfxdata="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A0ezjYAAAACwEAAA8AAAAAAAAAAQAgAAAAIgAAAGRycy9kb3ducmV2Lnht&#10;bFBLAQIUABQAAAAIAIdO4kB/jq0RMgIAAGEEAAAOAAAAAAAAAAEAIAAAACcBAABkcnMvZTJvRG9j&#10;LnhtbFBLBQYAAAAABgAGAFkBAADLBQAAAAA=&#10;" filled="f" stroked="f" strokeweight=".5pt">
          <v:textbox style="mso-fit-shape-to-text:t" inset="0,0,0,0">
            <w:txbxContent>
              <w:p w:rsidR="004A5EB7" w:rsidRDefault="00954FBA">
                <w:pPr>
                  <w:pStyle w:val="a5"/>
                </w:pPr>
                <w:r>
                  <w:rPr>
                    <w:rFonts w:hint="eastAsia"/>
                  </w:rPr>
                  <w:t>—</w:t>
                </w:r>
                <w:r w:rsidR="0060139B">
                  <w:rPr>
                    <w:rFonts w:hint="eastAsia"/>
                  </w:rPr>
                  <w:fldChar w:fldCharType="begin"/>
                </w:r>
                <w:r>
                  <w:rPr>
                    <w:rFonts w:hint="eastAsia"/>
                  </w:rPr>
                  <w:instrText xml:space="preserve"> PAGE  \* MERGEFORMAT </w:instrText>
                </w:r>
                <w:r w:rsidR="0060139B">
                  <w:rPr>
                    <w:rFonts w:hint="eastAsia"/>
                  </w:rPr>
                  <w:fldChar w:fldCharType="separate"/>
                </w:r>
                <w:r w:rsidR="00DC4671">
                  <w:rPr>
                    <w:noProof/>
                  </w:rPr>
                  <w:t>2</w:t>
                </w:r>
                <w:r w:rsidR="0060139B">
                  <w:rPr>
                    <w:rFonts w:hint="eastAsia"/>
                  </w:rPr>
                  <w:fldChar w:fldCharType="end"/>
                </w:r>
                <w:r>
                  <w:rPr>
                    <w:rFonts w:hint="eastAsia"/>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867" w:rsidRDefault="00BF5867" w:rsidP="004A5EB7">
      <w:r>
        <w:separator/>
      </w:r>
    </w:p>
  </w:footnote>
  <w:footnote w:type="continuationSeparator" w:id="1">
    <w:p w:rsidR="00BF5867" w:rsidRDefault="00BF5867" w:rsidP="004A5E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932A9"/>
    <w:multiLevelType w:val="singleLevel"/>
    <w:tmpl w:val="4D0932A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410C"/>
    <w:rsid w:val="00020A14"/>
    <w:rsid w:val="00070B54"/>
    <w:rsid w:val="000E0A6B"/>
    <w:rsid w:val="000E44BA"/>
    <w:rsid w:val="00106EDD"/>
    <w:rsid w:val="0012157C"/>
    <w:rsid w:val="00185C89"/>
    <w:rsid w:val="00220EAA"/>
    <w:rsid w:val="00273A73"/>
    <w:rsid w:val="00332F21"/>
    <w:rsid w:val="00342216"/>
    <w:rsid w:val="003F15F3"/>
    <w:rsid w:val="003F717C"/>
    <w:rsid w:val="004260D0"/>
    <w:rsid w:val="004445F9"/>
    <w:rsid w:val="00486A99"/>
    <w:rsid w:val="004A5EB7"/>
    <w:rsid w:val="00560079"/>
    <w:rsid w:val="005612B6"/>
    <w:rsid w:val="00564669"/>
    <w:rsid w:val="00586E38"/>
    <w:rsid w:val="00597F6E"/>
    <w:rsid w:val="0060139B"/>
    <w:rsid w:val="0063272F"/>
    <w:rsid w:val="00652A9F"/>
    <w:rsid w:val="00666F40"/>
    <w:rsid w:val="006C6B66"/>
    <w:rsid w:val="006F3615"/>
    <w:rsid w:val="007319EA"/>
    <w:rsid w:val="00760D40"/>
    <w:rsid w:val="007C3784"/>
    <w:rsid w:val="007E455E"/>
    <w:rsid w:val="0080428A"/>
    <w:rsid w:val="00852391"/>
    <w:rsid w:val="00923924"/>
    <w:rsid w:val="00940002"/>
    <w:rsid w:val="00954FBA"/>
    <w:rsid w:val="00A7389E"/>
    <w:rsid w:val="00AB1E89"/>
    <w:rsid w:val="00B049BB"/>
    <w:rsid w:val="00B519C4"/>
    <w:rsid w:val="00B6477D"/>
    <w:rsid w:val="00BA2693"/>
    <w:rsid w:val="00BF5867"/>
    <w:rsid w:val="00CA7F75"/>
    <w:rsid w:val="00CD5CBB"/>
    <w:rsid w:val="00DC4671"/>
    <w:rsid w:val="00E74981"/>
    <w:rsid w:val="00EA4BD1"/>
    <w:rsid w:val="00EE410C"/>
    <w:rsid w:val="00EF47F8"/>
    <w:rsid w:val="00F7111A"/>
    <w:rsid w:val="00FE3BE4"/>
    <w:rsid w:val="01370817"/>
    <w:rsid w:val="03172701"/>
    <w:rsid w:val="089C38F4"/>
    <w:rsid w:val="09871C13"/>
    <w:rsid w:val="0C055113"/>
    <w:rsid w:val="0C1A305C"/>
    <w:rsid w:val="0CDC1E98"/>
    <w:rsid w:val="0E045DF2"/>
    <w:rsid w:val="118509E1"/>
    <w:rsid w:val="11B168A6"/>
    <w:rsid w:val="123B611B"/>
    <w:rsid w:val="13412034"/>
    <w:rsid w:val="150B23F0"/>
    <w:rsid w:val="165465CB"/>
    <w:rsid w:val="18374A52"/>
    <w:rsid w:val="1868307F"/>
    <w:rsid w:val="19847145"/>
    <w:rsid w:val="1A5E78A8"/>
    <w:rsid w:val="1BA071AB"/>
    <w:rsid w:val="1CEA24C4"/>
    <w:rsid w:val="1DC20393"/>
    <w:rsid w:val="21A0345F"/>
    <w:rsid w:val="24E27BDB"/>
    <w:rsid w:val="25A17064"/>
    <w:rsid w:val="266A77B7"/>
    <w:rsid w:val="29F60549"/>
    <w:rsid w:val="2D0D3625"/>
    <w:rsid w:val="324A33EF"/>
    <w:rsid w:val="35273FA2"/>
    <w:rsid w:val="36707347"/>
    <w:rsid w:val="36AE3A09"/>
    <w:rsid w:val="3C61453B"/>
    <w:rsid w:val="3D6921A2"/>
    <w:rsid w:val="3E655C0C"/>
    <w:rsid w:val="41DE1E92"/>
    <w:rsid w:val="42C34D8E"/>
    <w:rsid w:val="45BE27C0"/>
    <w:rsid w:val="45DB1E84"/>
    <w:rsid w:val="46145DE1"/>
    <w:rsid w:val="48D92946"/>
    <w:rsid w:val="48E3695B"/>
    <w:rsid w:val="495248B8"/>
    <w:rsid w:val="4965182D"/>
    <w:rsid w:val="4AFD09C0"/>
    <w:rsid w:val="4B7B205E"/>
    <w:rsid w:val="51831E4A"/>
    <w:rsid w:val="51966B56"/>
    <w:rsid w:val="53435D8F"/>
    <w:rsid w:val="559922AD"/>
    <w:rsid w:val="59B65F5B"/>
    <w:rsid w:val="5C0F2FC4"/>
    <w:rsid w:val="5C8D1EEE"/>
    <w:rsid w:val="5D1B65AB"/>
    <w:rsid w:val="60676744"/>
    <w:rsid w:val="622773AE"/>
    <w:rsid w:val="64853126"/>
    <w:rsid w:val="64FA5ECD"/>
    <w:rsid w:val="657F42E0"/>
    <w:rsid w:val="65CA2CDF"/>
    <w:rsid w:val="66E77F0D"/>
    <w:rsid w:val="676E55FC"/>
    <w:rsid w:val="68494727"/>
    <w:rsid w:val="684E1A15"/>
    <w:rsid w:val="691B0321"/>
    <w:rsid w:val="6AC83847"/>
    <w:rsid w:val="6D845249"/>
    <w:rsid w:val="6DB0557E"/>
    <w:rsid w:val="74BA23C3"/>
    <w:rsid w:val="77EE455A"/>
    <w:rsid w:val="7C082765"/>
    <w:rsid w:val="7D451C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4A5EB7"/>
    <w:pPr>
      <w:widowControl w:val="0"/>
      <w:jc w:val="both"/>
    </w:pPr>
    <w:rPr>
      <w:rFonts w:ascii="Times New Roman" w:eastAsia="仿宋_GB2312" w:hAnsi="Times New Roman" w:cs="Times New Roman"/>
      <w:kern w:val="2"/>
      <w:sz w:val="32"/>
      <w:szCs w:val="32"/>
    </w:rPr>
  </w:style>
  <w:style w:type="paragraph" w:styleId="2">
    <w:name w:val="heading 2"/>
    <w:basedOn w:val="a"/>
    <w:next w:val="a"/>
    <w:qFormat/>
    <w:rsid w:val="004A5EB7"/>
    <w:pPr>
      <w:keepNext/>
      <w:keepLines/>
      <w:spacing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uiPriority w:val="99"/>
    <w:qFormat/>
    <w:rsid w:val="004A5EB7"/>
    <w:pPr>
      <w:autoSpaceDE w:val="0"/>
      <w:autoSpaceDN w:val="0"/>
      <w:jc w:val="left"/>
    </w:pPr>
    <w:rPr>
      <w:rFonts w:ascii="宋体" w:eastAsia="宋体" w:hint="eastAsia"/>
      <w:color w:val="000000"/>
      <w:kern w:val="0"/>
      <w:sz w:val="24"/>
      <w:szCs w:val="24"/>
    </w:rPr>
  </w:style>
  <w:style w:type="paragraph" w:styleId="a3">
    <w:name w:val="Normal Indent"/>
    <w:basedOn w:val="a"/>
    <w:qFormat/>
    <w:rsid w:val="004A5EB7"/>
    <w:pPr>
      <w:spacing w:line="600" w:lineRule="exact"/>
      <w:ind w:firstLine="420"/>
    </w:pPr>
    <w:rPr>
      <w:rFonts w:ascii="宋体" w:eastAsia="宋体" w:hAnsi="宋体" w:cs="宋体"/>
    </w:rPr>
  </w:style>
  <w:style w:type="paragraph" w:styleId="a4">
    <w:name w:val="Date"/>
    <w:basedOn w:val="a"/>
    <w:next w:val="a"/>
    <w:qFormat/>
    <w:rsid w:val="004A5EB7"/>
    <w:rPr>
      <w:rFonts w:eastAsia="宋体"/>
      <w:sz w:val="28"/>
      <w:szCs w:val="20"/>
    </w:rPr>
  </w:style>
  <w:style w:type="paragraph" w:styleId="a5">
    <w:name w:val="footer"/>
    <w:basedOn w:val="a"/>
    <w:qFormat/>
    <w:rsid w:val="004A5EB7"/>
    <w:pPr>
      <w:tabs>
        <w:tab w:val="center" w:pos="4153"/>
        <w:tab w:val="right" w:pos="8306"/>
      </w:tabs>
      <w:snapToGrid w:val="0"/>
      <w:jc w:val="left"/>
    </w:pPr>
    <w:rPr>
      <w:sz w:val="18"/>
    </w:rPr>
  </w:style>
  <w:style w:type="paragraph" w:styleId="a6">
    <w:name w:val="header"/>
    <w:basedOn w:val="a"/>
    <w:qFormat/>
    <w:rsid w:val="004A5E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1"/>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王译锋</cp:lastModifiedBy>
  <cp:revision>16</cp:revision>
  <cp:lastPrinted>2022-01-07T09:55:00Z</cp:lastPrinted>
  <dcterms:created xsi:type="dcterms:W3CDTF">2020-12-09T09:18:00Z</dcterms:created>
  <dcterms:modified xsi:type="dcterms:W3CDTF">2022-01-07T10:04:00Z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3E8BCED0384D425F8E44ADAF4728ED57</vt:lpwstr>
  </property>
</Properties>
</file>