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rPr>
          <w:rFonts w:hint="eastAsia" w:ascii="宋体" w:hAnsi="宋体" w:eastAsia="方正小标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小标宋_GBK" w:cs="方正小标宋_GBK"/>
          <w:color w:val="auto"/>
          <w:sz w:val="32"/>
          <w:szCs w:val="32"/>
          <w:lang w:val="en-US" w:eastAsia="zh-CN" w:bidi="ar-SA"/>
        </w:rPr>
        <w:t>附件</w:t>
      </w:r>
      <w:r>
        <w:rPr>
          <w:rFonts w:hint="eastAsia" w:ascii="宋体" w:hAnsi="宋体" w:eastAsia="方正小标宋_GBK" w:cs="Times New Roman"/>
          <w:color w:val="auto"/>
          <w:sz w:val="32"/>
          <w:szCs w:val="32"/>
          <w:lang w:val="en-US" w:eastAsia="zh-CN" w:bidi="ar-SA"/>
        </w:rPr>
        <w:t>6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90"/>
        <w:gridCol w:w="2660"/>
        <w:gridCol w:w="121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方正小标宋_GBK" w:cs="Times New Roman"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生产、经营、租住自建房</w:t>
            </w:r>
            <w:r>
              <w:rPr>
                <w:rFonts w:ascii="宋体" w:hAnsi="宋体" w:eastAsia="方正小标宋_GBK" w:cs="Times New Roman"/>
                <w:color w:val="auto"/>
                <w:kern w:val="0"/>
                <w:sz w:val="32"/>
                <w:szCs w:val="32"/>
              </w:rPr>
              <w:t>火灾风险综合治理工作记录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40" w:firstLineChars="200"/>
              <w:jc w:val="both"/>
              <w:textAlignment w:val="center"/>
              <w:rPr>
                <w:rFonts w:ascii="宋体" w:hAnsi="宋体" w:eastAsia="方正小标宋_GBK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ascii="宋体" w:hAnsi="宋体" w:eastAsia="方正小标宋_GBK" w:cs="Times New Roman"/>
                <w:color w:val="auto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lang w:val="en-US" w:eastAsia="zh-CN"/>
              </w:rPr>
              <w:t>社区连队排查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场所名称</w:t>
            </w:r>
          </w:p>
        </w:tc>
        <w:tc>
          <w:tcPr>
            <w:tcW w:w="26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地址</w:t>
            </w:r>
          </w:p>
        </w:tc>
        <w:tc>
          <w:tcPr>
            <w:tcW w:w="33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业主姓名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b/>
                <w:bCs/>
                <w:color w:val="auto"/>
                <w:kern w:val="0"/>
                <w:sz w:val="21"/>
                <w:szCs w:val="21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房屋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使用功能：   □生产     □经营     □租住     □混合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建筑层数：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    建筑面积：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    房屋间数：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工作人员数量：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    住宿人员数量：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电动车停放、充电</w:t>
            </w:r>
            <w:r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□无  □有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  <w:t xml:space="preserve">使用瓶装液化石油气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□无  □有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  <w:t xml:space="preserve">易燃易爆危险品生产、储存、销售、使用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□无  □有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防盗网、广告牌、铁栅栏  </w:t>
            </w:r>
            <w:r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 xml:space="preserve">□无  □有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方正仿宋_GBK" w:cs="Times New Roman"/>
                <w:b/>
                <w:bCs/>
                <w:color w:val="auto"/>
                <w:kern w:val="0"/>
                <w:sz w:val="21"/>
                <w:szCs w:val="21"/>
              </w:rPr>
              <w:t>消防设施、器材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none"/>
              </w:rPr>
              <w:t>□安全出口  数量：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none"/>
              </w:rPr>
              <w:t xml:space="preserve">     □疏散楼梯  数量：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□室内消火栓       □应急照明      □疏散指示标志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none"/>
              </w:rPr>
              <w:t>□灭火器  种类及其数量：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 w:eastAsia="方正仿宋_GBK" w:cs="Times New Roman"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□其他消防设施、器材：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default" w:ascii="宋体" w:hAnsi="宋体" w:eastAsia="方正仿宋_GBK" w:cs="Times New Roman"/>
                <w:color w:val="auto"/>
                <w:sz w:val="21"/>
                <w:szCs w:val="21"/>
                <w:u w:val="non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8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排查人员签字：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 xml:space="preserve">  联系方式：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团场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核查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1.□使用易燃可燃夹芯彩钢板或其他易燃材料搭建临时房屋。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（整改要求：拆除易燃可燃夹芯彩钢板或其他易燃材料）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2.□屋顶、围护结构、房间隔墙使用易燃可燃夹芯彩钢板或其他易燃材料。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（整改要求：拆除易燃可燃夹芯彩钢板或其他易燃材料）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3.□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>用于生产、经营的自建房，</w:t>
            </w: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居住区域与生产、经营区域未完全防火分隔。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（整改要求：砌墙或安装防火门分隔）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4.□电动自行车、电动摩托车、电动平衡车及其蓄电池在室内公共区域、疏散走道、楼梯间、安全出口或房间内停放、充电。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（整改要求：搬移至室外）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团场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核查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5.□室外集中停放、充电区域及其设置的雨棚与建筑外窗、安全出口直接相邻。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（整改要求：落实防火分隔，拆除违规设置的集中停放、充电雨棚）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6.□每层建筑面积超过200平方米的自建房、屋顶承重构件和楼板为可燃材料的自建房、建筑层数为4层及以上的自建房，疏散楼梯少于2部，首层安全出口少于2个。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（整改要求：按要求增设疏散楼梯、安全出口）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7.□外窗、疏散走道安装防盗网、广告牌、铁栅栏。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（整改要求：拆除防盗网、广告牌、铁栅栏或设置可开启门窗）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8.□用于租住的自建房内设置采用易燃可燃保温材料的冷库、设置液氨制冷剂的冷库，生产、储存、经营易燃易爆危险品的自建房设置居住场所。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（整改要求：搬离租住人员）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整改期限：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完成整改：□是 □否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9.□已形成生产、经营、租住村（居）民自建房集中连片区域。</w:t>
            </w:r>
            <w:r>
              <w:rPr>
                <w:rFonts w:ascii="宋体" w:hAnsi="宋体" w:eastAsia="方正楷体_GBK" w:cs="Times New Roman"/>
                <w:color w:val="auto"/>
                <w:kern w:val="0"/>
                <w:sz w:val="21"/>
                <w:szCs w:val="21"/>
              </w:rPr>
              <w:t>（整改要求：按上述问题隐患整改要求，由县（市）级督办整改）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10.□其他问题：</w:t>
            </w:r>
          </w:p>
        </w:tc>
        <w:tc>
          <w:tcPr>
            <w:tcW w:w="33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</w:rPr>
              <w:t>整改措施：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</w:p>
        </w:tc>
        <w:tc>
          <w:tcPr>
            <w:tcW w:w="8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乡镇（街道）名称：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仿宋_GBK" w:cs="Times New Roman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核查人员签字：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 xml:space="preserve">  联系方式：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销案</w:t>
            </w:r>
          </w:p>
        </w:tc>
        <w:tc>
          <w:tcPr>
            <w:tcW w:w="8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>□予以销案    □不予销案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>整改责任人员签名：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>联系方式：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>核查销案人员签名：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none"/>
              </w:rPr>
              <w:t xml:space="preserve">   联系方式：</w:t>
            </w:r>
            <w:r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</w:pPr>
            <w:r>
              <w:rPr>
                <w:rFonts w:ascii="宋体" w:hAnsi="宋体" w:eastAsia="方正黑体_GBK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420" w:firstLineChars="200"/>
              <w:jc w:val="both"/>
              <w:textAlignment w:val="top"/>
              <w:rPr>
                <w:rFonts w:ascii="宋体" w:hAnsi="宋体" w:eastAsia="方正黑体_GBK" w:cs="Times New Roman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rPr>
          <w:rFonts w:ascii="宋体" w:hAnsi="宋体" w:eastAsia="宋体" w:cs="Times New Roman"/>
          <w:color w:val="auto"/>
          <w:sz w:val="21"/>
          <w:szCs w:val="21"/>
        </w:rPr>
      </w:pPr>
      <w:r>
        <w:rPr>
          <w:rFonts w:ascii="宋体" w:hAnsi="宋体" w:eastAsia="方正楷体_GBK" w:cs="Times New Roman"/>
          <w:color w:val="auto"/>
          <w:sz w:val="21"/>
          <w:szCs w:val="21"/>
        </w:rPr>
        <w:t>本表供</w:t>
      </w:r>
      <w:r>
        <w:rPr>
          <w:rFonts w:hint="eastAsia" w:ascii="宋体" w:hAnsi="宋体" w:eastAsia="方正楷体_GBK" w:cs="Times New Roman"/>
          <w:color w:val="auto"/>
          <w:sz w:val="21"/>
          <w:szCs w:val="21"/>
          <w:lang w:val="en-US" w:eastAsia="zh-CN"/>
        </w:rPr>
        <w:t>各地</w:t>
      </w:r>
      <w:r>
        <w:rPr>
          <w:rFonts w:ascii="宋体" w:hAnsi="宋体" w:eastAsia="方正楷体_GBK" w:cs="Times New Roman"/>
          <w:color w:val="auto"/>
          <w:sz w:val="21"/>
          <w:szCs w:val="21"/>
        </w:rPr>
        <w:t>参照使用，可结合本地工作方案细化相关排查、核查内容。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0AA2"/>
    <w:rsid w:val="126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2022-04-01T05:59:00Z</dcterms:created>
  <dc:creator>不是唯一</dc:creator>
  <cp:lastModifiedBy>不是唯一</cp:lastModifiedBy>
  <dcterms:modified xsi:type="dcterms:W3CDTF">2022-04-01T06:00:04Z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9BBEC59AADE54CB1868C1148390DB44E</vt:lpwstr>
  </property>
  <property fmtid="{D5CDD505-2E9C-101B-9397-08002B2CF9AE}" pid="4" name="KSOSaveFontToCloudKey">
    <vt:lpwstr>5408407_cloud</vt:lpwstr>
  </property>
</Properties>
</file>