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both"/>
        <w:rPr>
          <w:rFonts w:hint="eastAsia" w:ascii="宋体" w:hAnsi="宋体" w:eastAsia="方正小标宋_GBK" w:cs="Times New Roman"/>
          <w:snapToGrid w:val="0"/>
          <w:color w:val="auto"/>
          <w:kern w:val="0"/>
          <w:sz w:val="32"/>
          <w:szCs w:val="32"/>
          <w:lang w:eastAsia="zh-CN"/>
        </w:rPr>
      </w:pPr>
      <w:r>
        <w:rPr>
          <w:rFonts w:ascii="宋体" w:hAnsi="宋体" w:eastAsia="方正小标宋_GBK" w:cs="Times New Roman"/>
          <w:color w:val="auto"/>
          <w:sz w:val="32"/>
          <w:szCs w:val="32"/>
        </w:rPr>
        <w:t>附件</w:t>
      </w:r>
      <w:r>
        <w:rPr>
          <w:rFonts w:hint="eastAsia" w:ascii="宋体" w:hAnsi="宋体" w:eastAsia="方正小标宋_GBK" w:cs="Times New Roman"/>
          <w:color w:val="auto"/>
          <w:sz w:val="32"/>
          <w:szCs w:val="32"/>
          <w:lang w:val="en-US" w:eastAsia="zh-CN"/>
        </w:rPr>
        <w:t>4</w:t>
      </w:r>
    </w:p>
    <w:p>
      <w:pPr>
        <w:keepNext w:val="0"/>
        <w:keepLines w:val="0"/>
        <w:pageBreakBefore w:val="0"/>
        <w:kinsoku/>
        <w:wordWrap/>
        <w:overflowPunct/>
        <w:topLinePunct w:val="0"/>
        <w:bidi w:val="0"/>
        <w:snapToGrid/>
        <w:spacing w:line="560" w:lineRule="exact"/>
        <w:jc w:val="center"/>
        <w:rPr>
          <w:rFonts w:hint="eastAsia" w:ascii="宋体" w:hAnsi="宋体" w:eastAsia="方正小标宋_GBK" w:cs="方正小标宋_GBK"/>
          <w:strike/>
          <w:color w:val="auto"/>
          <w:sz w:val="32"/>
          <w:szCs w:val="32"/>
        </w:rPr>
      </w:pPr>
      <w:bookmarkStart w:id="0" w:name="_GoBack"/>
      <w:r>
        <w:rPr>
          <w:rFonts w:hint="eastAsia" w:ascii="宋体" w:hAnsi="宋体" w:eastAsia="方正小标宋_GBK" w:cs="方正小标宋_GBK"/>
          <w:color w:val="auto"/>
          <w:sz w:val="32"/>
          <w:szCs w:val="32"/>
        </w:rPr>
        <w:t>电动自行车消防安全整治标准</w:t>
      </w:r>
      <w:bookmarkEnd w:id="0"/>
    </w:p>
    <w:p>
      <w:pPr>
        <w:keepNext w:val="0"/>
        <w:keepLines w:val="0"/>
        <w:pageBreakBefore w:val="0"/>
        <w:kinsoku/>
        <w:wordWrap/>
        <w:overflowPunct/>
        <w:topLinePunct w:val="0"/>
        <w:bidi w:val="0"/>
        <w:snapToGrid/>
        <w:spacing w:line="560" w:lineRule="exact"/>
        <w:ind w:left="0" w:leftChars="0" w:firstLine="640" w:firstLineChars="200"/>
        <w:jc w:val="both"/>
        <w:rPr>
          <w:rFonts w:ascii="宋体" w:hAnsi="宋体" w:eastAsia="仿宋_GB2312" w:cs="Times New Roman"/>
          <w:color w:val="auto"/>
          <w:sz w:val="32"/>
          <w:szCs w:val="32"/>
        </w:rPr>
      </w:pPr>
    </w:p>
    <w:p>
      <w:pPr>
        <w:keepNext w:val="0"/>
        <w:keepLines w:val="0"/>
        <w:pageBreakBefore w:val="0"/>
        <w:kinsoku/>
        <w:wordWrap/>
        <w:overflowPunct/>
        <w:topLinePunct w:val="0"/>
        <w:bidi w:val="0"/>
        <w:snapToGrid/>
        <w:spacing w:line="560" w:lineRule="exact"/>
        <w:ind w:left="0" w:leftChars="0" w:firstLine="560" w:firstLineChars="200"/>
        <w:jc w:val="both"/>
        <w:rPr>
          <w:rFonts w:hint="eastAsia" w:ascii="宋体" w:hAnsi="宋体" w:eastAsia="方正仿宋简体" w:cs="方正仿宋简体"/>
          <w:color w:val="auto"/>
          <w:sz w:val="28"/>
          <w:szCs w:val="28"/>
        </w:rPr>
      </w:pPr>
      <w:r>
        <w:rPr>
          <w:rFonts w:hint="eastAsia" w:ascii="宋体" w:hAnsi="宋体" w:eastAsia="方正仿宋简体" w:cs="方正仿宋简体"/>
          <w:color w:val="auto"/>
          <w:sz w:val="28"/>
          <w:szCs w:val="28"/>
        </w:rPr>
        <w:t>一、严禁在房屋内、封闭式院落以及电梯间、楼道、安全出口、消防车通道及其两侧影响通行的区域停放电动车或为电动车及其电瓶（电池）充电，应在室外空旷场地或专用停放充电场所进行停放和充电，并不得占用消防车通道。</w:t>
      </w:r>
    </w:p>
    <w:p>
      <w:pPr>
        <w:keepNext w:val="0"/>
        <w:keepLines w:val="0"/>
        <w:pageBreakBefore w:val="0"/>
        <w:kinsoku/>
        <w:wordWrap/>
        <w:overflowPunct/>
        <w:topLinePunct w:val="0"/>
        <w:bidi w:val="0"/>
        <w:snapToGrid/>
        <w:spacing w:line="560" w:lineRule="exact"/>
        <w:ind w:left="0" w:leftChars="0" w:firstLine="560" w:firstLineChars="200"/>
        <w:jc w:val="both"/>
        <w:rPr>
          <w:rFonts w:hint="eastAsia" w:ascii="宋体" w:hAnsi="宋体" w:eastAsia="方正仿宋简体" w:cs="方正仿宋简体"/>
          <w:color w:val="auto"/>
          <w:sz w:val="28"/>
          <w:szCs w:val="28"/>
        </w:rPr>
      </w:pPr>
      <w:r>
        <w:rPr>
          <w:rFonts w:hint="eastAsia" w:ascii="宋体" w:hAnsi="宋体" w:eastAsia="方正仿宋简体" w:cs="方正仿宋简体"/>
          <w:color w:val="auto"/>
          <w:sz w:val="28"/>
          <w:szCs w:val="28"/>
        </w:rPr>
        <w:t>二、拟建、在建、改建的住宅小区、居民楼院等居住类建设项目，应当按照每户不少于1个车位的容量，同步规划配建具备定时充电、自动断电、故障报警等功能的电动车停放充电场所；已投入使用的住宅小区、居民楼院，应尽快修建电动车停放充电场所。</w:t>
      </w:r>
    </w:p>
    <w:p>
      <w:pPr>
        <w:keepNext w:val="0"/>
        <w:keepLines w:val="0"/>
        <w:pageBreakBefore w:val="0"/>
        <w:kinsoku/>
        <w:wordWrap/>
        <w:overflowPunct/>
        <w:topLinePunct w:val="0"/>
        <w:bidi w:val="0"/>
        <w:snapToGrid/>
        <w:spacing w:line="560" w:lineRule="exact"/>
        <w:ind w:left="0" w:leftChars="0" w:firstLine="560" w:firstLineChars="200"/>
        <w:jc w:val="both"/>
        <w:rPr>
          <w:rFonts w:hint="eastAsia" w:ascii="宋体" w:hAnsi="宋体" w:eastAsia="方正仿宋简体" w:cs="方正仿宋简体"/>
          <w:color w:val="auto"/>
          <w:sz w:val="28"/>
          <w:szCs w:val="28"/>
        </w:rPr>
      </w:pPr>
      <w:r>
        <w:rPr>
          <w:rFonts w:hint="eastAsia" w:ascii="宋体" w:hAnsi="宋体" w:eastAsia="方正仿宋简体" w:cs="方正仿宋简体"/>
          <w:color w:val="auto"/>
          <w:sz w:val="28"/>
          <w:szCs w:val="28"/>
        </w:rPr>
        <w:t>三、单独建造的电动车停放充电场所，应采用不燃材料，并与其他建（构）筑物保持安全距离；设置在建筑物内的电动车停放充电场所，应与建筑物的楼梯间、疏散通道、安全出口之间采用实体墙完全分隔，并单独设置安全出口。</w:t>
      </w:r>
    </w:p>
    <w:p>
      <w:pPr>
        <w:keepNext w:val="0"/>
        <w:keepLines w:val="0"/>
        <w:pageBreakBefore w:val="0"/>
        <w:kinsoku/>
        <w:wordWrap/>
        <w:overflowPunct/>
        <w:topLinePunct w:val="0"/>
        <w:bidi w:val="0"/>
        <w:snapToGrid/>
        <w:spacing w:line="560" w:lineRule="exact"/>
        <w:ind w:left="0" w:leftChars="0" w:firstLine="560" w:firstLineChars="200"/>
        <w:jc w:val="both"/>
        <w:rPr>
          <w:rFonts w:hint="eastAsia" w:ascii="宋体" w:hAnsi="宋体" w:eastAsia="方正仿宋简体" w:cs="方正仿宋简体"/>
          <w:color w:val="auto"/>
          <w:sz w:val="28"/>
          <w:szCs w:val="28"/>
        </w:rPr>
      </w:pPr>
      <w:r>
        <w:rPr>
          <w:rFonts w:hint="eastAsia" w:ascii="宋体" w:hAnsi="宋体" w:eastAsia="方正仿宋简体" w:cs="方正仿宋简体"/>
          <w:color w:val="auto"/>
          <w:sz w:val="28"/>
          <w:szCs w:val="28"/>
        </w:rPr>
        <w:t>四、电动车停放充电场所应设置专用的配电箱，线路插座应由取得资格的电工安装并固定敷设，配电线路必须符合同时充电时的负荷要求，不得私拉乱接电源线路。</w:t>
      </w:r>
    </w:p>
    <w:p>
      <w:pPr>
        <w:keepNext w:val="0"/>
        <w:keepLines w:val="0"/>
        <w:pageBreakBefore w:val="0"/>
        <w:kinsoku/>
        <w:wordWrap/>
        <w:overflowPunct/>
        <w:topLinePunct w:val="0"/>
        <w:bidi w:val="0"/>
        <w:snapToGrid/>
        <w:spacing w:line="560" w:lineRule="exact"/>
        <w:ind w:left="0" w:leftChars="0" w:firstLine="560" w:firstLineChars="200"/>
        <w:jc w:val="both"/>
        <w:rPr>
          <w:rFonts w:hint="eastAsia" w:ascii="宋体" w:hAnsi="宋体" w:eastAsia="方正仿宋简体" w:cs="方正仿宋简体"/>
          <w:color w:val="auto"/>
          <w:sz w:val="28"/>
          <w:szCs w:val="28"/>
        </w:rPr>
      </w:pPr>
      <w:r>
        <w:rPr>
          <w:rFonts w:hint="eastAsia" w:ascii="宋体" w:hAnsi="宋体" w:eastAsia="方正仿宋简体" w:cs="方正仿宋简体"/>
          <w:color w:val="auto"/>
          <w:sz w:val="28"/>
          <w:szCs w:val="28"/>
        </w:rPr>
        <w:t>五、电动车停放充电场所应配置简易喷淋、干粉灭火器、独立式感烟火灾探测报警器等消防设施器材。</w:t>
      </w:r>
    </w:p>
    <w:p>
      <w:pPr>
        <w:keepNext w:val="0"/>
        <w:keepLines w:val="0"/>
        <w:pageBreakBefore w:val="0"/>
        <w:kinsoku/>
        <w:wordWrap/>
        <w:overflowPunct/>
        <w:topLinePunct w:val="0"/>
        <w:bidi w:val="0"/>
        <w:snapToGrid/>
        <w:spacing w:line="560" w:lineRule="exact"/>
        <w:ind w:left="0" w:leftChars="0" w:firstLine="560" w:firstLineChars="200"/>
        <w:jc w:val="both"/>
        <w:rPr>
          <w:rFonts w:hint="eastAsia" w:ascii="宋体" w:hAnsi="宋体" w:eastAsia="方正仿宋简体" w:cs="方正仿宋简体"/>
          <w:color w:val="auto"/>
          <w:sz w:val="28"/>
          <w:szCs w:val="28"/>
          <w:lang w:eastAsia="zh-CN"/>
        </w:rPr>
        <w:sectPr>
          <w:pgSz w:w="11906" w:h="16838"/>
          <w:pgMar w:top="2098" w:right="1474" w:bottom="1984" w:left="1587" w:header="851" w:footer="992" w:gutter="0"/>
          <w:pgNumType w:fmt="numberInDash"/>
          <w:cols w:space="720" w:num="1"/>
          <w:docGrid w:type="lines" w:linePitch="312" w:charSpace="0"/>
        </w:sectPr>
      </w:pPr>
      <w:r>
        <w:rPr>
          <w:rFonts w:hint="eastAsia" w:ascii="宋体" w:hAnsi="宋体" w:eastAsia="方正仿宋简体" w:cs="方正仿宋简体"/>
          <w:color w:val="auto"/>
          <w:sz w:val="28"/>
          <w:szCs w:val="28"/>
        </w:rPr>
        <w:t>注：各地也可结合实际制定本地区的整治标准</w:t>
      </w:r>
      <w:r>
        <w:rPr>
          <w:rFonts w:hint="eastAsia" w:ascii="宋体" w:hAnsi="宋体" w:eastAsia="方正仿宋简体" w:cs="方正仿宋简体"/>
          <w:color w:val="auto"/>
          <w:sz w:val="28"/>
          <w:szCs w:val="28"/>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A14B5"/>
    <w:rsid w:val="681A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黑体" w:eastAsia="黑体"/>
      <w:color w:val="000000"/>
      <w:sz w:val="24"/>
      <w:szCs w:val="24"/>
    </w:rPr>
  </w:style>
  <w:style w:type="paragraph" w:customStyle="1" w:styleId="3">
    <w:name w:val="正文1"/>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2022-04-01T05:58:00Z</dcterms:created>
  <dc:creator>不是唯一</dc:creator>
  <cp:lastModifiedBy>不是唯一</cp:lastModifiedBy>
  <dcterms:modified xsi:type="dcterms:W3CDTF">2022-04-01T05:58:45Z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70D7E8435A2248DA8CD651C1F69B7ADA</vt:lpwstr>
  </property>
  <property fmtid="{D5CDD505-2E9C-101B-9397-08002B2CF9AE}" pid="4" name="KSOSaveFontToCloudKey">
    <vt:lpwstr>5408407_cloud</vt:lpwstr>
  </property>
</Properties>
</file>