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color w:val="0000FF"/>
          <w:sz w:val="36"/>
        </w:rPr>
      </w:pPr>
    </w:p>
    <w:p>
      <w:pPr>
        <w:pStyle w:val="2"/>
        <w:rPr>
          <w:color w:val="0000FF"/>
          <w:sz w:val="28"/>
        </w:rPr>
      </w:pPr>
    </w:p>
    <w:p>
      <w:pPr>
        <w:pStyle w:val="2"/>
        <w:spacing w:line="264" w:lineRule="auto"/>
        <w:rPr>
          <w:color w:val="0000FF"/>
          <w:sz w:val="28"/>
        </w:rPr>
      </w:pPr>
    </w:p>
    <w:p/>
    <w:p/>
    <w:p>
      <w:pPr>
        <w:spacing w:line="560" w:lineRule="exact"/>
        <w:rPr>
          <w:color w:val="0000FF"/>
          <w:sz w:val="52"/>
        </w:rPr>
      </w:pPr>
      <w:r>
        <w:pict>
          <v:shape id="_x0000_s1027" o:spid="_x0000_s1027" o:spt="202" type="#_x0000_t202" style="position:absolute;left:0pt;margin-left:99pt;margin-top:16.75pt;height:39.5pt;width:232.2pt;z-index:251658240;mso-width-relative:page;mso-height-relative:page;" stroked="t" coordsize="21600,2160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t>90</w:t>
                  </w:r>
                  <w:r>
                    <w:rPr>
                      <w:rFonts w:hint="eastAsia"/>
                    </w:rPr>
                    <w:t>号</w:t>
                  </w:r>
                </w:p>
              </w:txbxContent>
            </v:textbox>
          </v:shape>
        </w:pict>
      </w:r>
    </w:p>
    <w:p>
      <w:pPr>
        <w:pStyle w:val="2"/>
        <w:rPr>
          <w:color w:val="auto"/>
        </w:rPr>
      </w:pPr>
    </w:p>
    <w:p>
      <w:pPr>
        <w:spacing w:line="640" w:lineRule="exact"/>
        <w:jc w:val="center"/>
        <w:outlineLvl w:val="0"/>
        <w:rPr>
          <w:rFonts w:hint="eastAsia" w:eastAsia="方正小标宋简体"/>
          <w:w w:val="95"/>
          <w:sz w:val="44"/>
          <w:szCs w:val="44"/>
        </w:rPr>
      </w:pPr>
    </w:p>
    <w:p>
      <w:pPr>
        <w:spacing w:line="640" w:lineRule="exact"/>
        <w:jc w:val="center"/>
        <w:outlineLvl w:val="0"/>
        <w:rPr>
          <w:rFonts w:eastAsia="方正小标宋简体"/>
          <w:w w:val="95"/>
          <w:sz w:val="44"/>
          <w:szCs w:val="44"/>
        </w:rPr>
      </w:pPr>
      <w:r>
        <w:rPr>
          <w:rFonts w:hint="eastAsia" w:eastAsia="方正小标宋简体"/>
          <w:w w:val="95"/>
          <w:sz w:val="44"/>
          <w:szCs w:val="44"/>
        </w:rPr>
        <w:t>关于第一师阿拉尔市十三团红桥镇污水处理厂</w:t>
      </w:r>
    </w:p>
    <w:p>
      <w:pPr>
        <w:spacing w:line="640" w:lineRule="exact"/>
        <w:jc w:val="center"/>
        <w:outlineLvl w:val="0"/>
        <w:rPr>
          <w:rFonts w:eastAsia="方正小标宋简体"/>
          <w:w w:val="95"/>
          <w:sz w:val="44"/>
          <w:szCs w:val="44"/>
        </w:rPr>
      </w:pPr>
      <w:r>
        <w:rPr>
          <w:rFonts w:hint="eastAsia" w:eastAsia="方正小标宋简体"/>
          <w:w w:val="95"/>
          <w:sz w:val="44"/>
          <w:szCs w:val="44"/>
        </w:rPr>
        <w:t>建设项目环境影响报告表的批复</w:t>
      </w:r>
    </w:p>
    <w:p>
      <w:pPr>
        <w:adjustRightInd w:val="0"/>
        <w:snapToGrid w:val="0"/>
        <w:spacing w:line="560" w:lineRule="exact"/>
      </w:pPr>
    </w:p>
    <w:p>
      <w:pPr>
        <w:adjustRightInd w:val="0"/>
        <w:snapToGrid w:val="0"/>
        <w:spacing w:line="580" w:lineRule="exact"/>
        <w:rPr>
          <w:rFonts w:ascii="仿宋_GB2312"/>
        </w:rPr>
      </w:pPr>
      <w:r>
        <w:rPr>
          <w:rFonts w:hint="eastAsia" w:ascii="仿宋_GB2312" w:hAnsi="仿宋"/>
          <w:spacing w:val="-10"/>
        </w:rPr>
        <w:t>阿拉尔市城市建设管理处：</w:t>
      </w:r>
    </w:p>
    <w:p>
      <w:pPr>
        <w:adjustRightInd w:val="0"/>
        <w:snapToGrid w:val="0"/>
        <w:spacing w:line="560" w:lineRule="exact"/>
        <w:ind w:firstLine="610" w:firstLineChars="200"/>
        <w:rPr>
          <w:rFonts w:ascii="仿宋_GB2312"/>
        </w:rPr>
      </w:pPr>
      <w:r>
        <w:rPr>
          <w:rFonts w:hint="eastAsia" w:ascii="仿宋_GB2312"/>
        </w:rPr>
        <w:t>你单位报送的《关于送审第一师阿拉尔市十三团红桥镇污水处理厂建设项目环评审批的请示》及《第一师阿拉尔市十三团红桥镇污水处理厂建设项目环境影响报告表》（以下简称“报告表”）收悉。经专家审查和研究，现批复如下：</w:t>
      </w:r>
    </w:p>
    <w:p>
      <w:pPr>
        <w:adjustRightInd w:val="0"/>
        <w:snapToGrid w:val="0"/>
        <w:spacing w:line="560" w:lineRule="exact"/>
        <w:ind w:firstLine="610" w:firstLineChars="200"/>
        <w:rPr>
          <w:rFonts w:ascii="仿宋_GB2312" w:cs="仿宋_GB2312"/>
        </w:rPr>
      </w:pPr>
      <w:r>
        <w:rPr>
          <w:rFonts w:hint="eastAsia" w:ascii="仿宋_GB2312" w:hAnsi="仿宋_GB2312" w:cs="仿宋_GB2312"/>
        </w:rPr>
        <w:t>一、该项目位于十三团红桥镇原污水处理厂（氧化塘）西侧，厂区东南侧</w:t>
      </w:r>
      <w:r>
        <w:rPr>
          <w:rFonts w:ascii="仿宋_GB2312" w:hAnsi="仿宋_GB2312" w:cs="仿宋_GB2312"/>
        </w:rPr>
        <w:t>145</w:t>
      </w:r>
      <w:r>
        <w:rPr>
          <w:rFonts w:hint="eastAsia" w:ascii="仿宋_GB2312" w:hAnsi="仿宋_GB2312" w:cs="仿宋_GB2312"/>
        </w:rPr>
        <w:t>米处为平房居民点、南侧</w:t>
      </w:r>
      <w:r>
        <w:rPr>
          <w:rFonts w:ascii="仿宋_GB2312" w:hAnsi="仿宋_GB2312" w:cs="仿宋_GB2312"/>
        </w:rPr>
        <w:t>85</w:t>
      </w:r>
      <w:r>
        <w:rPr>
          <w:rFonts w:hint="eastAsia" w:ascii="仿宋_GB2312" w:hAnsi="仿宋_GB2312" w:cs="仿宋_GB2312"/>
        </w:rPr>
        <w:t>米处为红桥小区、东侧为现有氧化塘、北侧为农田，厂区中心地理位置坐标为东经</w:t>
      </w:r>
      <w:r>
        <w:rPr>
          <w:rFonts w:ascii="仿宋_GB2312" w:hAnsi="仿宋_GB2312" w:cs="仿宋_GB2312"/>
        </w:rPr>
        <w:t>81</w:t>
      </w:r>
      <w:r>
        <w:rPr>
          <w:rFonts w:hint="eastAsia" w:ascii="仿宋_GB2312" w:hAnsi="仿宋_GB2312" w:cs="仿宋_GB2312"/>
        </w:rPr>
        <w:t>°</w:t>
      </w:r>
      <w:r>
        <w:rPr>
          <w:rFonts w:ascii="仿宋_GB2312" w:hAnsi="仿宋_GB2312" w:cs="仿宋_GB2312"/>
        </w:rPr>
        <w:t>36</w:t>
      </w:r>
      <w:r>
        <w:rPr>
          <w:rFonts w:hint="eastAsia" w:ascii="仿宋_GB2312" w:hAnsi="仿宋_GB2312" w:cs="仿宋_GB2312"/>
        </w:rPr>
        <w:t>′</w:t>
      </w:r>
      <w:r>
        <w:rPr>
          <w:rFonts w:ascii="仿宋_GB2312" w:hAnsi="仿宋_GB2312" w:cs="仿宋_GB2312"/>
        </w:rPr>
        <w:t>48.541</w:t>
      </w:r>
      <w:r>
        <w:rPr>
          <w:rFonts w:hint="eastAsia" w:ascii="仿宋_GB2312" w:hAnsi="仿宋_GB2312" w:cs="仿宋_GB2312"/>
        </w:rPr>
        <w:t>″，北纬</w:t>
      </w:r>
      <w:r>
        <w:rPr>
          <w:rFonts w:ascii="仿宋_GB2312" w:hAnsi="仿宋_GB2312" w:cs="仿宋_GB2312"/>
        </w:rPr>
        <w:t>40</w:t>
      </w:r>
      <w:r>
        <w:rPr>
          <w:rFonts w:hint="eastAsia" w:ascii="仿宋_GB2312" w:hAnsi="仿宋_GB2312" w:cs="仿宋_GB2312"/>
        </w:rPr>
        <w:t>°</w:t>
      </w:r>
      <w:r>
        <w:rPr>
          <w:rFonts w:ascii="仿宋_GB2312" w:hAnsi="仿宋_GB2312" w:cs="仿宋_GB2312"/>
        </w:rPr>
        <w:t>41</w:t>
      </w:r>
      <w:r>
        <w:rPr>
          <w:rFonts w:hint="eastAsia" w:ascii="仿宋_GB2312" w:hAnsi="仿宋_GB2312" w:cs="仿宋_GB2312"/>
        </w:rPr>
        <w:t>′</w:t>
      </w:r>
      <w:r>
        <w:rPr>
          <w:rFonts w:ascii="仿宋_GB2312" w:hAnsi="仿宋_GB2312" w:cs="仿宋_GB2312"/>
        </w:rPr>
        <w:t>11.406</w:t>
      </w:r>
      <w:r>
        <w:rPr>
          <w:rFonts w:hint="eastAsia" w:ascii="仿宋_GB2312" w:hAnsi="仿宋_GB2312" w:cs="仿宋_GB2312"/>
        </w:rPr>
        <w:t>″。新建一座处理规模为</w:t>
      </w:r>
      <w:r>
        <w:rPr>
          <w:rFonts w:ascii="仿宋_GB2312" w:hAnsi="仿宋_GB2312" w:cs="仿宋_GB2312"/>
        </w:rPr>
        <w:t>12</w:t>
      </w:r>
      <w:r>
        <w:rPr>
          <w:rFonts w:ascii="仿宋_GB2312" w:cs="仿宋_GB2312"/>
        </w:rPr>
        <w:t>00</w:t>
      </w:r>
      <w:r>
        <w:rPr>
          <w:rFonts w:hint="eastAsia" w:ascii="仿宋_GB2312" w:hAnsi="仿宋_GB2312" w:cs="仿宋_GB2312"/>
        </w:rPr>
        <w:t>立方米</w:t>
      </w:r>
      <w:r>
        <w:rPr>
          <w:rFonts w:ascii="仿宋_GB2312" w:hAnsi="仿宋_GB2312" w:cs="仿宋_GB2312"/>
        </w:rPr>
        <w:t>/</w:t>
      </w:r>
      <w:r>
        <w:rPr>
          <w:rFonts w:hint="eastAsia" w:ascii="仿宋_GB2312" w:hAnsi="仿宋_GB2312" w:cs="仿宋_GB2312"/>
        </w:rPr>
        <w:t>天的城镇生活污水处理厂，总占地面积</w:t>
      </w:r>
      <w:r>
        <w:rPr>
          <w:rFonts w:ascii="仿宋_GB2312" w:hAnsi="仿宋_GB2312" w:cs="仿宋_GB2312"/>
        </w:rPr>
        <w:t>5849.83</w:t>
      </w:r>
      <w:r>
        <w:rPr>
          <w:rFonts w:hint="eastAsia" w:ascii="仿宋_GB2312" w:hAnsi="仿宋_GB2312" w:cs="仿宋_GB2312"/>
        </w:rPr>
        <w:t>平方米，现有氧化塘作为冬储夏灌的暂存池进行利用。主要建设粗细格栅</w:t>
      </w:r>
      <w:r>
        <w:rPr>
          <w:rFonts w:ascii="仿宋_GB2312" w:cs="仿宋_GB2312"/>
        </w:rPr>
        <w:t>-</w:t>
      </w:r>
      <w:r>
        <w:rPr>
          <w:rFonts w:hint="eastAsia" w:ascii="仿宋_GB2312" w:hAnsi="仿宋_GB2312" w:cs="仿宋_GB2312"/>
        </w:rPr>
        <w:t>提升泵</w:t>
      </w:r>
      <w:r>
        <w:rPr>
          <w:rFonts w:ascii="仿宋_GB2312" w:cs="仿宋_GB2312"/>
        </w:rPr>
        <w:t>-</w:t>
      </w:r>
      <w:r>
        <w:rPr>
          <w:rFonts w:hint="eastAsia" w:ascii="仿宋_GB2312" w:hAnsi="仿宋_GB2312" w:cs="仿宋_GB2312"/>
        </w:rPr>
        <w:t>旋流式沉砂器综合池、</w:t>
      </w:r>
      <w:r>
        <w:rPr>
          <w:rFonts w:ascii="仿宋_GB2312" w:hAnsi="仿宋_GB2312" w:cs="仿宋_GB2312"/>
        </w:rPr>
        <w:t>A</w:t>
      </w:r>
      <w:r>
        <w:rPr>
          <w:rFonts w:ascii="仿宋_GB2312" w:hAnsi="仿宋_GB2312" w:cs="仿宋_GB2312"/>
          <w:vertAlign w:val="superscript"/>
        </w:rPr>
        <w:t>2</w:t>
      </w:r>
      <w:r>
        <w:rPr>
          <w:rFonts w:ascii="仿宋_GB2312" w:hAnsi="仿宋_GB2312" w:cs="仿宋_GB2312"/>
        </w:rPr>
        <w:t>/O</w:t>
      </w:r>
      <w:r>
        <w:rPr>
          <w:rFonts w:hint="eastAsia" w:ascii="仿宋_GB2312" w:hAnsi="仿宋_GB2312" w:cs="仿宋_GB2312"/>
        </w:rPr>
        <w:t>生化池及其配套设施。项目总投资为</w:t>
      </w:r>
      <w:r>
        <w:rPr>
          <w:rFonts w:ascii="仿宋_GB2312" w:hAnsi="仿宋_GB2312" w:cs="仿宋_GB2312"/>
        </w:rPr>
        <w:t>2200</w:t>
      </w:r>
      <w:r>
        <w:rPr>
          <w:rFonts w:hint="eastAsia" w:ascii="仿宋_GB2312" w:hAnsi="仿宋_GB2312" w:cs="仿宋_GB2312"/>
        </w:rPr>
        <w:t>万元，其中环保投资为</w:t>
      </w:r>
      <w:r>
        <w:rPr>
          <w:rFonts w:ascii="仿宋_GB2312" w:hAnsi="仿宋_GB2312" w:cs="仿宋_GB2312"/>
        </w:rPr>
        <w:t>234</w:t>
      </w:r>
      <w:r>
        <w:rPr>
          <w:rFonts w:hint="eastAsia" w:ascii="仿宋_GB2312" w:hAnsi="仿宋_GB2312" w:cs="仿宋_GB2312"/>
        </w:rPr>
        <w:t>万元，占总投资</w:t>
      </w:r>
      <w:r>
        <w:rPr>
          <w:rFonts w:ascii="仿宋_GB2312" w:hAnsi="仿宋_GB2312" w:cs="仿宋_GB2312"/>
        </w:rPr>
        <w:t>10.6%</w:t>
      </w:r>
      <w:r>
        <w:rPr>
          <w:rFonts w:hint="eastAsia" w:ascii="仿宋_GB2312" w:hAnsi="仿宋_GB2312" w:cs="仿宋_GB2312"/>
        </w:rPr>
        <w:t>。</w:t>
      </w:r>
    </w:p>
    <w:p>
      <w:pPr>
        <w:adjustRightInd w:val="0"/>
        <w:snapToGrid w:val="0"/>
        <w:spacing w:line="560" w:lineRule="exact"/>
        <w:ind w:firstLine="610" w:firstLineChars="200"/>
        <w:rPr>
          <w:rFonts w:ascii="仿宋_GB2312" w:cs="仿宋_GB2312"/>
        </w:rPr>
      </w:pPr>
      <w:r>
        <w:rPr>
          <w:rFonts w:hint="eastAsia" w:ascii="仿宋_GB2312" w:hAnsi="仿宋_GB2312" w:cs="仿宋_GB2312"/>
        </w:rPr>
        <w:t>二、该项目属于污水处理及其再生利用中新建、扩建日处理</w:t>
      </w:r>
      <w:r>
        <w:rPr>
          <w:rFonts w:ascii="仿宋_GB2312" w:hAnsi="仿宋_GB2312" w:cs="仿宋_GB2312"/>
        </w:rPr>
        <w:t>10</w:t>
      </w:r>
      <w:r>
        <w:rPr>
          <w:rFonts w:hint="eastAsia" w:ascii="仿宋_GB2312" w:hAnsi="仿宋_GB2312" w:cs="仿宋_GB2312"/>
        </w:rPr>
        <w:t>万吨以下</w:t>
      </w:r>
      <w:r>
        <w:rPr>
          <w:rFonts w:ascii="仿宋_GB2312" w:hAnsi="仿宋_GB2312" w:cs="仿宋_GB2312"/>
        </w:rPr>
        <w:t>500</w:t>
      </w:r>
      <w:r>
        <w:rPr>
          <w:rFonts w:hint="eastAsia" w:ascii="仿宋_GB2312" w:hAnsi="仿宋_GB2312" w:cs="仿宋_GB2312"/>
        </w:rPr>
        <w:t>吨及以上城乡污水处理项目，</w:t>
      </w:r>
      <w:r>
        <w:rPr>
          <w:rFonts w:hint="eastAsia" w:ascii="仿宋_GB2312"/>
          <w:bCs/>
        </w:rPr>
        <w:t>污水处理工艺为</w:t>
      </w:r>
      <w:r>
        <w:rPr>
          <w:rFonts w:hint="eastAsia" w:ascii="仿宋_GB2312"/>
        </w:rPr>
        <w:t>“预处理</w:t>
      </w:r>
      <w:r>
        <w:rPr>
          <w:rFonts w:ascii="仿宋_GB2312"/>
        </w:rPr>
        <w:t>+A</w:t>
      </w:r>
      <w:r>
        <w:rPr>
          <w:rFonts w:ascii="仿宋_GB2312"/>
          <w:vertAlign w:val="superscript"/>
        </w:rPr>
        <w:t>2</w:t>
      </w:r>
      <w:r>
        <w:rPr>
          <w:rFonts w:ascii="仿宋_GB2312"/>
        </w:rPr>
        <w:t>/O</w:t>
      </w:r>
      <w:r>
        <w:rPr>
          <w:rFonts w:hint="eastAsia" w:ascii="仿宋_GB2312"/>
        </w:rPr>
        <w:t>工艺</w:t>
      </w:r>
      <w:r>
        <w:rPr>
          <w:rFonts w:ascii="仿宋_GB2312"/>
        </w:rPr>
        <w:t>+BBR</w:t>
      </w:r>
      <w:r>
        <w:rPr>
          <w:rFonts w:hint="eastAsia" w:ascii="仿宋_GB2312"/>
        </w:rPr>
        <w:t>提质降耗反应器</w:t>
      </w:r>
      <w:r>
        <w:rPr>
          <w:rFonts w:ascii="仿宋_GB2312"/>
        </w:rPr>
        <w:t>+</w:t>
      </w:r>
      <w:r>
        <w:rPr>
          <w:rFonts w:hint="eastAsia" w:ascii="仿宋_GB2312"/>
        </w:rPr>
        <w:t>纤维转盘过滤器</w:t>
      </w:r>
      <w:r>
        <w:rPr>
          <w:rFonts w:ascii="仿宋_GB2312"/>
        </w:rPr>
        <w:t>+</w:t>
      </w:r>
      <w:r>
        <w:rPr>
          <w:rFonts w:hint="eastAsia" w:ascii="仿宋_GB2312"/>
        </w:rPr>
        <w:t>药剂消毒”。</w:t>
      </w:r>
      <w:r>
        <w:rPr>
          <w:rFonts w:hint="eastAsia" w:ascii="仿宋_GB2312" w:hAnsi="仿宋_GB2312" w:cs="仿宋_GB2312"/>
        </w:rPr>
        <w:t>我局原则同意报告表的结论。项目经投资主管部门依法审批后，你单位须严格按照报告表所列建设项目的性质、规模、地点、工艺和环境保护对策措施实施项目建设和运营。</w:t>
      </w:r>
    </w:p>
    <w:p>
      <w:pPr>
        <w:adjustRightInd w:val="0"/>
        <w:snapToGrid w:val="0"/>
        <w:spacing w:line="560" w:lineRule="exact"/>
        <w:ind w:firstLine="610" w:firstLineChars="200"/>
        <w:rPr>
          <w:rFonts w:ascii="仿宋_GB2312" w:cs="仿宋_GB2312"/>
        </w:rPr>
      </w:pPr>
      <w:r>
        <w:rPr>
          <w:rFonts w:hint="eastAsia" w:ascii="仿宋_GB2312" w:hAnsi="仿宋_GB2312" w:cs="仿宋_GB2312"/>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pPr>
        <w:pStyle w:val="2"/>
        <w:spacing w:line="560" w:lineRule="exact"/>
        <w:ind w:firstLine="610" w:firstLineChars="200"/>
        <w:jc w:val="both"/>
        <w:rPr>
          <w:rFonts w:ascii="仿宋_GB2312" w:eastAsia="仿宋_GB2312"/>
          <w:sz w:val="32"/>
          <w:szCs w:val="32"/>
        </w:rPr>
      </w:pPr>
      <w:r>
        <w:rPr>
          <w:rFonts w:hint="eastAsia" w:ascii="仿宋_GB2312" w:hAnsi="仿宋_GB2312" w:eastAsia="仿宋_GB2312" w:cs="仿宋_GB2312"/>
          <w:sz w:val="32"/>
          <w:szCs w:val="32"/>
        </w:rPr>
        <w:t>（一）认真落实施工期环境保护措施。施工场地设置围墙或围挡，严禁大风天气施工作业，定期对道路洒水降尘；运输车辆物料加盖篷布，严禁撒漏；施工废水经收集沉淀后用于降尘；做好施工降噪措施；对施工废弃物及时清理分类，集中处理，回收利用；做好施工结束后的迹地恢复、水土保持、防沙治沙等生态保护措施。</w:t>
      </w:r>
    </w:p>
    <w:p>
      <w:pPr>
        <w:autoSpaceDE w:val="0"/>
        <w:autoSpaceDN w:val="0"/>
        <w:adjustRightInd w:val="0"/>
        <w:snapToGrid w:val="0"/>
        <w:spacing w:line="560" w:lineRule="exact"/>
        <w:ind w:firstLine="610" w:firstLineChars="200"/>
        <w:rPr>
          <w:rFonts w:ascii="仿宋_GB2312"/>
        </w:rPr>
      </w:pPr>
      <w:r>
        <w:rPr>
          <w:rFonts w:hint="eastAsia" w:ascii="仿宋_GB2312"/>
        </w:rPr>
        <w:t>（二）</w:t>
      </w:r>
      <w:r>
        <w:rPr>
          <w:rFonts w:hint="eastAsia" w:ascii="仿宋_GB2312" w:hAnsi="仿宋_GB2312" w:cs="仿宋_GB2312"/>
        </w:rPr>
        <w:t>严格落实大气污染防治措施。</w:t>
      </w:r>
      <w:r>
        <w:rPr>
          <w:rFonts w:hint="eastAsia" w:ascii="仿宋_GB2312"/>
        </w:rPr>
        <w:t>项目运营期废气主要为污水处理厂运行产生的含</w:t>
      </w:r>
      <w:r>
        <w:rPr>
          <w:rFonts w:ascii="仿宋_GB2312"/>
        </w:rPr>
        <w:t>NH</w:t>
      </w:r>
      <w:r>
        <w:rPr>
          <w:rFonts w:ascii="仿宋_GB2312"/>
          <w:vertAlign w:val="subscript"/>
        </w:rPr>
        <w:t>3</w:t>
      </w:r>
      <w:r>
        <w:rPr>
          <w:rFonts w:hint="eastAsia" w:ascii="仿宋_GB2312"/>
        </w:rPr>
        <w:t>、</w:t>
      </w:r>
      <w:r>
        <w:rPr>
          <w:rFonts w:ascii="仿宋_GB2312"/>
        </w:rPr>
        <w:t>H</w:t>
      </w:r>
      <w:r>
        <w:rPr>
          <w:rFonts w:ascii="仿宋_GB2312"/>
          <w:vertAlign w:val="subscript"/>
        </w:rPr>
        <w:t>2</w:t>
      </w:r>
      <w:r>
        <w:rPr>
          <w:rFonts w:ascii="仿宋_GB2312"/>
        </w:rPr>
        <w:t>S</w:t>
      </w:r>
      <w:r>
        <w:rPr>
          <w:rFonts w:hint="eastAsia" w:ascii="仿宋_GB2312"/>
        </w:rPr>
        <w:t>恶臭气体。通过在污水处理单元池上方加设盖板进行密闭，恶臭废气采用“负压风机收集</w:t>
      </w:r>
      <w:r>
        <w:rPr>
          <w:rFonts w:ascii="仿宋_GB2312"/>
        </w:rPr>
        <w:t>+</w:t>
      </w:r>
      <w:r>
        <w:rPr>
          <w:rFonts w:hint="eastAsia" w:ascii="仿宋_GB2312"/>
        </w:rPr>
        <w:t>活性炭吸附装置处理”后由一座</w:t>
      </w:r>
      <w:r>
        <w:rPr>
          <w:rFonts w:ascii="仿宋_GB2312"/>
        </w:rPr>
        <w:t>15</w:t>
      </w:r>
      <w:r>
        <w:rPr>
          <w:rFonts w:hint="eastAsia" w:ascii="仿宋_GB2312"/>
        </w:rPr>
        <w:t>米高排气筒排放，</w:t>
      </w:r>
      <w:r>
        <w:rPr>
          <w:rFonts w:ascii="仿宋_GB2312"/>
        </w:rPr>
        <w:t>NH</w:t>
      </w:r>
      <w:r>
        <w:rPr>
          <w:rFonts w:ascii="仿宋_GB2312"/>
          <w:vertAlign w:val="subscript"/>
        </w:rPr>
        <w:t>3</w:t>
      </w:r>
      <w:r>
        <w:rPr>
          <w:rFonts w:hint="eastAsia" w:ascii="仿宋_GB2312"/>
        </w:rPr>
        <w:t>、</w:t>
      </w:r>
      <w:r>
        <w:rPr>
          <w:rFonts w:ascii="仿宋_GB2312"/>
        </w:rPr>
        <w:t>H</w:t>
      </w:r>
      <w:r>
        <w:rPr>
          <w:rFonts w:ascii="仿宋_GB2312"/>
          <w:vertAlign w:val="subscript"/>
        </w:rPr>
        <w:t>2</w:t>
      </w:r>
      <w:r>
        <w:rPr>
          <w:rFonts w:ascii="仿宋_GB2312"/>
        </w:rPr>
        <w:t>S</w:t>
      </w:r>
      <w:r>
        <w:rPr>
          <w:rFonts w:hint="eastAsia" w:ascii="仿宋_GB2312"/>
        </w:rPr>
        <w:t>、臭气排放须满足《恶臭污染物排放标准》（</w:t>
      </w:r>
      <w:r>
        <w:rPr>
          <w:rFonts w:ascii="仿宋_GB2312"/>
        </w:rPr>
        <w:t>GB14554-93</w:t>
      </w:r>
      <w:r>
        <w:rPr>
          <w:rFonts w:hint="eastAsia" w:ascii="仿宋_GB2312"/>
        </w:rPr>
        <w:t>）表</w:t>
      </w:r>
      <w:r>
        <w:rPr>
          <w:rFonts w:ascii="仿宋_GB2312"/>
        </w:rPr>
        <w:t>2</w:t>
      </w:r>
      <w:r>
        <w:rPr>
          <w:rFonts w:hint="eastAsia" w:ascii="仿宋_GB2312"/>
        </w:rPr>
        <w:t>恶臭污染物排放标准要求。采取及时清运污泥、种植绿化隔离带等措施，确保厂界无组织</w:t>
      </w:r>
      <w:r>
        <w:rPr>
          <w:rFonts w:ascii="仿宋_GB2312"/>
        </w:rPr>
        <w:t>NH</w:t>
      </w:r>
      <w:r>
        <w:rPr>
          <w:rFonts w:ascii="仿宋_GB2312"/>
          <w:vertAlign w:val="subscript"/>
        </w:rPr>
        <w:t>3</w:t>
      </w:r>
      <w:r>
        <w:rPr>
          <w:rFonts w:hint="eastAsia" w:ascii="仿宋_GB2312"/>
        </w:rPr>
        <w:t>、</w:t>
      </w:r>
      <w:r>
        <w:rPr>
          <w:rFonts w:ascii="仿宋_GB2312"/>
        </w:rPr>
        <w:t>H</w:t>
      </w:r>
      <w:r>
        <w:rPr>
          <w:rFonts w:ascii="仿宋_GB2312"/>
          <w:vertAlign w:val="subscript"/>
        </w:rPr>
        <w:t>2</w:t>
      </w:r>
      <w:r>
        <w:rPr>
          <w:rFonts w:ascii="仿宋_GB2312"/>
        </w:rPr>
        <w:t>S</w:t>
      </w:r>
      <w:r>
        <w:rPr>
          <w:rFonts w:hint="eastAsia" w:ascii="仿宋_GB2312"/>
        </w:rPr>
        <w:t>排放满足《城镇污水处理厂污染物排放标准》（</w:t>
      </w:r>
      <w:r>
        <w:rPr>
          <w:rFonts w:ascii="仿宋_GB2312"/>
        </w:rPr>
        <w:t>GB18918-2002</w:t>
      </w:r>
      <w:r>
        <w:rPr>
          <w:rFonts w:hint="eastAsia" w:ascii="仿宋_GB2312"/>
        </w:rPr>
        <w:t>）及修改单中表</w:t>
      </w:r>
      <w:r>
        <w:rPr>
          <w:rFonts w:ascii="仿宋_GB2312"/>
        </w:rPr>
        <w:t>4</w:t>
      </w:r>
      <w:r>
        <w:rPr>
          <w:rFonts w:hint="eastAsia" w:ascii="仿宋_GB2312"/>
        </w:rPr>
        <w:t>厂界废气排放最高允许浓度二级标准要求。该项目卫生环境防护距离为</w:t>
      </w:r>
      <w:r>
        <w:rPr>
          <w:rFonts w:ascii="仿宋_GB2312"/>
        </w:rPr>
        <w:t>50</w:t>
      </w:r>
      <w:r>
        <w:rPr>
          <w:rFonts w:hint="eastAsia" w:ascii="仿宋_GB2312"/>
        </w:rPr>
        <w:t>米，在此范围内禁止新建医院、学校、居民点等环境敏感设施。</w:t>
      </w:r>
    </w:p>
    <w:p>
      <w:pPr>
        <w:spacing w:line="560" w:lineRule="exact"/>
        <w:ind w:firstLine="610" w:firstLineChars="200"/>
        <w:rPr>
          <w:rFonts w:ascii="仿宋_GB2312"/>
        </w:rPr>
      </w:pPr>
      <w:r>
        <w:rPr>
          <w:rFonts w:hint="eastAsia" w:ascii="仿宋_GB2312"/>
        </w:rPr>
        <w:t>（三）</w:t>
      </w:r>
      <w:r>
        <w:rPr>
          <w:rFonts w:hint="eastAsia" w:ascii="仿宋_GB2312" w:hAnsi="仿宋_GB2312" w:cs="仿宋_GB2312"/>
        </w:rPr>
        <w:t>严格落实水污染防治措施。</w:t>
      </w:r>
      <w:r>
        <w:rPr>
          <w:rFonts w:hint="eastAsia" w:ascii="仿宋_GB2312"/>
        </w:rPr>
        <w:t>该污水处理厂出水须同时满足《城镇污水处理厂污染物排放标准》（</w:t>
      </w:r>
      <w:r>
        <w:rPr>
          <w:rFonts w:ascii="仿宋_GB2312"/>
        </w:rPr>
        <w:t>GB18918-2002</w:t>
      </w:r>
      <w:r>
        <w:rPr>
          <w:rFonts w:hint="eastAsia" w:ascii="仿宋_GB2312"/>
        </w:rPr>
        <w:t>）中表</w:t>
      </w:r>
      <w:r>
        <w:rPr>
          <w:rFonts w:ascii="仿宋_GB2312"/>
        </w:rPr>
        <w:t>1</w:t>
      </w:r>
      <w:r>
        <w:rPr>
          <w:rFonts w:hint="eastAsia" w:ascii="仿宋_GB2312"/>
        </w:rPr>
        <w:t>一级</w:t>
      </w:r>
      <w:r>
        <w:rPr>
          <w:rFonts w:ascii="仿宋_GB2312"/>
        </w:rPr>
        <w:t>A</w:t>
      </w:r>
      <w:r>
        <w:rPr>
          <w:rFonts w:hint="eastAsia" w:ascii="仿宋_GB2312"/>
        </w:rPr>
        <w:t>标准、《城市污水再生利用</w:t>
      </w:r>
      <w:r>
        <w:rPr>
          <w:rFonts w:ascii="仿宋_GB2312"/>
        </w:rPr>
        <w:t xml:space="preserve"> </w:t>
      </w:r>
      <w:r>
        <w:rPr>
          <w:rFonts w:hint="eastAsia" w:ascii="仿宋_GB2312"/>
        </w:rPr>
        <w:t>城市杂用水水质》（</w:t>
      </w:r>
      <w:r>
        <w:rPr>
          <w:rFonts w:ascii="仿宋_GB2312"/>
        </w:rPr>
        <w:t>GB/T18920-2020</w:t>
      </w:r>
      <w:r>
        <w:rPr>
          <w:rFonts w:hint="eastAsia" w:ascii="仿宋_GB2312"/>
        </w:rPr>
        <w:t>）中表</w:t>
      </w:r>
      <w:r>
        <w:rPr>
          <w:rFonts w:ascii="仿宋_GB2312"/>
        </w:rPr>
        <w:t>1</w:t>
      </w:r>
      <w:r>
        <w:rPr>
          <w:rFonts w:hint="eastAsia" w:ascii="仿宋_GB2312"/>
        </w:rPr>
        <w:t>城市绿化标准、《城市污水再生利用</w:t>
      </w:r>
      <w:r>
        <w:rPr>
          <w:rFonts w:ascii="仿宋_GB2312"/>
        </w:rPr>
        <w:t xml:space="preserve"> </w:t>
      </w:r>
      <w:r>
        <w:rPr>
          <w:rFonts w:hint="eastAsia" w:ascii="仿宋_GB2312"/>
        </w:rPr>
        <w:t>农田灌溉水质》（</w:t>
      </w:r>
      <w:r>
        <w:rPr>
          <w:rFonts w:ascii="仿宋_GB2312"/>
        </w:rPr>
        <w:t>GB20922-2007</w:t>
      </w:r>
      <w:r>
        <w:rPr>
          <w:rFonts w:hint="eastAsia" w:ascii="仿宋_GB2312"/>
        </w:rPr>
        <w:t>）中表</w:t>
      </w:r>
      <w:r>
        <w:rPr>
          <w:rFonts w:ascii="仿宋_GB2312"/>
        </w:rPr>
        <w:t>1</w:t>
      </w:r>
      <w:r>
        <w:rPr>
          <w:rFonts w:hint="eastAsia" w:ascii="仿宋_GB2312"/>
        </w:rPr>
        <w:t>纤维作物灌溉标准后进行冬储夏灌，夏季用于厂区绿化、红桥镇道路清、周围棉田灌溉，冬季暂存于现有氧化塘，严格落实分区防渗，做好污水处理装置及收集管道的防渗处理，防止跑、冒、滴、漏，将污水泄漏风险降到最低。</w:t>
      </w:r>
    </w:p>
    <w:p>
      <w:pPr>
        <w:adjustRightInd w:val="0"/>
        <w:snapToGrid w:val="0"/>
        <w:spacing w:line="560" w:lineRule="exact"/>
        <w:ind w:firstLine="610" w:firstLineChars="200"/>
        <w:rPr>
          <w:rFonts w:ascii="仿宋_GB2312" w:cs="仿宋_GB2312"/>
        </w:rPr>
      </w:pPr>
      <w:r>
        <w:rPr>
          <w:rFonts w:hint="eastAsia" w:ascii="仿宋_GB2312"/>
          <w:snapToGrid w:val="0"/>
        </w:rPr>
        <w:t>（四）严格落实噪声污染防治措施。</w:t>
      </w:r>
      <w:r>
        <w:rPr>
          <w:rFonts w:hint="eastAsia" w:ascii="仿宋_GB2312"/>
        </w:rPr>
        <w:t>项目运营期噪声源主要为回转格栅除污机、水下搅拌机、高压隔膜板框压滤机、螺污泥泵、风机等机械设备。通过对设备采取消声、减振、室内布置、加强设备维护等措施，</w:t>
      </w:r>
      <w:r>
        <w:rPr>
          <w:rFonts w:hint="eastAsia" w:ascii="仿宋_GB2312" w:hAnsi="仿宋_GB2312" w:cs="仿宋_GB2312"/>
        </w:rPr>
        <w:t>确保厂界噪声满足《工业企业厂界环境噪声排放标准》（</w:t>
      </w:r>
      <w:r>
        <w:rPr>
          <w:rFonts w:ascii="仿宋_GB2312" w:hAnsi="仿宋_GB2312" w:cs="仿宋_GB2312"/>
        </w:rPr>
        <w:t>GB12348-2008</w:t>
      </w:r>
      <w:r>
        <w:rPr>
          <w:rFonts w:hint="eastAsia" w:ascii="仿宋_GB2312" w:hAnsi="仿宋_GB2312" w:cs="仿宋_GB2312"/>
        </w:rPr>
        <w:t>）中</w:t>
      </w:r>
      <w:r>
        <w:rPr>
          <w:rFonts w:ascii="仿宋_GB2312" w:hAnsi="仿宋_GB2312" w:cs="仿宋_GB2312"/>
        </w:rPr>
        <w:t>2</w:t>
      </w:r>
      <w:r>
        <w:rPr>
          <w:rFonts w:hint="eastAsia" w:ascii="仿宋_GB2312" w:hAnsi="仿宋_GB2312" w:cs="仿宋_GB2312"/>
        </w:rPr>
        <w:t>类标准限值（昼间≤</w:t>
      </w:r>
      <w:r>
        <w:rPr>
          <w:rFonts w:ascii="仿宋_GB2312" w:hAnsi="仿宋_GB2312" w:cs="仿宋_GB2312"/>
        </w:rPr>
        <w:t>60dB(A)</w:t>
      </w:r>
      <w:r>
        <w:rPr>
          <w:rFonts w:hint="eastAsia" w:ascii="仿宋_GB2312" w:hAnsi="仿宋_GB2312" w:cs="仿宋_GB2312"/>
        </w:rPr>
        <w:t>，夜间≤</w:t>
      </w:r>
      <w:r>
        <w:rPr>
          <w:rFonts w:ascii="仿宋_GB2312" w:hAnsi="仿宋_GB2312" w:cs="仿宋_GB2312"/>
        </w:rPr>
        <w:t>50dB(A)</w:t>
      </w:r>
      <w:r>
        <w:rPr>
          <w:rFonts w:hint="eastAsia" w:ascii="仿宋_GB2312" w:hAnsi="仿宋_GB2312" w:cs="仿宋_GB2312"/>
        </w:rPr>
        <w:t>）。</w:t>
      </w:r>
    </w:p>
    <w:p>
      <w:pPr>
        <w:pStyle w:val="2"/>
        <w:spacing w:line="560" w:lineRule="exact"/>
        <w:ind w:firstLine="610" w:firstLineChars="200"/>
        <w:rPr>
          <w:rFonts w:ascii="仿宋_GB2312" w:eastAsia="仿宋_GB2312"/>
          <w:b/>
          <w:sz w:val="32"/>
          <w:szCs w:val="32"/>
        </w:rPr>
      </w:pPr>
      <w:r>
        <w:rPr>
          <w:rFonts w:hint="eastAsia" w:ascii="仿宋_GB2312" w:eastAsia="仿宋_GB2312"/>
          <w:sz w:val="32"/>
          <w:szCs w:val="32"/>
        </w:rPr>
        <w:t>（五）严格落实固体废物分类处置措施。项目产生的固体废物主要为废活性炭、废润滑油、格栅、沉砂、污泥及生活垃圾。其中，废活性炭、废润滑油属于危险废物，暂存于厂区内危险废物暂存库，</w:t>
      </w:r>
      <w:r>
        <w:rPr>
          <w:rFonts w:hint="eastAsia" w:ascii="仿宋_GB2312" w:eastAsia="仿宋_GB2312"/>
          <w:color w:val="auto"/>
          <w:sz w:val="32"/>
          <w:szCs w:val="32"/>
        </w:rPr>
        <w:t>废活性炭、</w:t>
      </w:r>
      <w:r>
        <w:rPr>
          <w:rFonts w:hint="eastAsia" w:ascii="仿宋_GB2312" w:eastAsia="仿宋_GB2312"/>
          <w:sz w:val="32"/>
          <w:szCs w:val="32"/>
        </w:rPr>
        <w:t>废润滑油定期交由具备相应危险废物处置资质的单位转移处置。危险废物暂存库须严格按照《危险废物贮存污染控制标准》</w:t>
      </w:r>
      <w:r>
        <w:rPr>
          <w:rFonts w:ascii="仿宋_GB2312" w:eastAsia="仿宋_GB2312"/>
          <w:sz w:val="32"/>
          <w:szCs w:val="32"/>
        </w:rPr>
        <w:t>(GB18597-2001)</w:t>
      </w:r>
      <w:r>
        <w:rPr>
          <w:rFonts w:hint="eastAsia" w:ascii="仿宋_GB2312" w:eastAsia="仿宋_GB2312"/>
          <w:sz w:val="32"/>
          <w:szCs w:val="32"/>
        </w:rPr>
        <w:t>及</w:t>
      </w:r>
      <w:r>
        <w:rPr>
          <w:rFonts w:ascii="仿宋_GB2312" w:eastAsia="仿宋_GB2312"/>
          <w:sz w:val="32"/>
          <w:szCs w:val="32"/>
        </w:rPr>
        <w:t>2013</w:t>
      </w:r>
      <w:r>
        <w:rPr>
          <w:rFonts w:hint="eastAsia" w:ascii="仿宋_GB2312" w:eastAsia="仿宋_GB2312"/>
          <w:sz w:val="32"/>
          <w:szCs w:val="32"/>
        </w:rPr>
        <w:t>年修改单中的相关要求进行建设和管理。栅渣、沉砂及污泥属于一般工业固体废物，栅渣、沉砂委托环卫部门定期清运；污泥采用“污泥浓缩罐</w:t>
      </w:r>
      <w:r>
        <w:rPr>
          <w:rFonts w:ascii="仿宋_GB2312" w:eastAsia="仿宋_GB2312"/>
          <w:sz w:val="32"/>
          <w:szCs w:val="32"/>
        </w:rPr>
        <w:t>+</w:t>
      </w:r>
      <w:r>
        <w:rPr>
          <w:rFonts w:hint="eastAsia" w:ascii="仿宋_GB2312" w:eastAsia="仿宋_GB2312"/>
          <w:sz w:val="32"/>
          <w:szCs w:val="32"/>
        </w:rPr>
        <w:t>高压隔膜板框压滤机”脱水至</w:t>
      </w:r>
      <w:r>
        <w:rPr>
          <w:rFonts w:ascii="仿宋_GB2312" w:eastAsia="仿宋_GB2312"/>
          <w:sz w:val="32"/>
          <w:szCs w:val="32"/>
        </w:rPr>
        <w:t>60%</w:t>
      </w:r>
      <w:r>
        <w:rPr>
          <w:rFonts w:hint="eastAsia" w:ascii="仿宋_GB2312" w:eastAsia="仿宋_GB2312"/>
          <w:sz w:val="32"/>
          <w:szCs w:val="32"/>
        </w:rPr>
        <w:t>以下，定期外运至十三团垃圾填埋场处置，严禁污泥在厂区长期堆放。生活垃圾集中收集后，由环卫部门定期清运处理。</w:t>
      </w:r>
    </w:p>
    <w:p>
      <w:pPr>
        <w:adjustRightInd w:val="0"/>
        <w:snapToGrid w:val="0"/>
        <w:spacing w:line="560" w:lineRule="exact"/>
        <w:ind w:firstLine="610" w:firstLineChars="200"/>
        <w:rPr>
          <w:rFonts w:ascii="仿宋_GB2312"/>
        </w:rPr>
      </w:pPr>
      <w:r>
        <w:rPr>
          <w:rFonts w:hint="eastAsia" w:ascii="仿宋_GB2312" w:cs="仿宋_GB2312"/>
        </w:rPr>
        <w:t>（六）建立健全运行期环保管理制度，完善环境风险事故应急预案和事故防范措施，建立应急救援指挥系统，并定期进行应急培训和演练。做好日常巡检维修，保证污水处理设施的正常运行，编制《突发环境事件应急预案》报环保主管部门备案，确保不发生环境污染事故。</w:t>
      </w:r>
    </w:p>
    <w:p>
      <w:pPr>
        <w:pStyle w:val="12"/>
        <w:autoSpaceDE w:val="0"/>
        <w:autoSpaceDN w:val="0"/>
        <w:spacing w:line="560" w:lineRule="exact"/>
        <w:ind w:firstLine="610" w:firstLineChars="200"/>
        <w:jc w:val="left"/>
        <w:rPr>
          <w:rFonts w:ascii="仿宋_GB2312" w:cs="仿宋_GB2312"/>
          <w:kern w:val="0"/>
          <w:sz w:val="32"/>
        </w:rPr>
      </w:pPr>
      <w:r>
        <w:rPr>
          <w:rFonts w:hint="eastAsia" w:ascii="仿宋_GB2312" w:cs="仿宋_GB2312"/>
          <w:color w:val="000000"/>
          <w:kern w:val="0"/>
          <w:sz w:val="32"/>
        </w:rPr>
        <w:t>四、你单位须严格执行环保</w:t>
      </w:r>
      <w:r>
        <w:rPr>
          <w:rFonts w:ascii="仿宋_GB2312" w:cs="仿宋_GB2312"/>
          <w:color w:val="000000"/>
          <w:kern w:val="0"/>
          <w:sz w:val="32"/>
        </w:rPr>
        <w:t>“</w:t>
      </w:r>
      <w:r>
        <w:rPr>
          <w:rFonts w:hint="eastAsia" w:ascii="仿宋_GB2312" w:cs="仿宋_GB2312"/>
          <w:color w:val="000000"/>
          <w:kern w:val="0"/>
          <w:sz w:val="32"/>
        </w:rPr>
        <w:t>三同时</w:t>
      </w:r>
      <w:r>
        <w:rPr>
          <w:rFonts w:ascii="仿宋_GB2312" w:cs="仿宋_GB2312"/>
          <w:color w:val="000000"/>
          <w:kern w:val="0"/>
          <w:sz w:val="32"/>
        </w:rPr>
        <w:t>”</w:t>
      </w:r>
      <w:r>
        <w:rPr>
          <w:rFonts w:hint="eastAsia" w:ascii="仿宋_GB2312" w:cs="仿宋_GB2312"/>
          <w:color w:val="000000"/>
          <w:kern w:val="0"/>
          <w:sz w:val="32"/>
        </w:rPr>
        <w:t>制度，建设项目竣工后，建设单位应当按照国务院环境保护行政主管部门规定的标准和程序，对配套建设的环境保护设施进行验收，编制验收报告，验收报告编制完成后</w:t>
      </w:r>
      <w:r>
        <w:rPr>
          <w:rFonts w:ascii="仿宋_GB2312" w:cs="仿宋_GB2312"/>
          <w:color w:val="000000"/>
          <w:kern w:val="0"/>
          <w:sz w:val="32"/>
        </w:rPr>
        <w:t>5</w:t>
      </w:r>
      <w:r>
        <w:rPr>
          <w:rFonts w:hint="eastAsia" w:ascii="仿宋_GB2312" w:cs="仿宋_GB2312"/>
          <w:color w:val="000000"/>
          <w:kern w:val="0"/>
          <w:sz w:val="32"/>
        </w:rPr>
        <w:t>个工作日内在相关网站进行公开，公示期限不得少于</w:t>
      </w:r>
      <w:r>
        <w:rPr>
          <w:rFonts w:ascii="仿宋_GB2312" w:cs="仿宋_GB2312"/>
          <w:color w:val="000000"/>
          <w:kern w:val="0"/>
          <w:sz w:val="32"/>
        </w:rPr>
        <w:t>20</w:t>
      </w:r>
      <w:r>
        <w:rPr>
          <w:rFonts w:hint="eastAsia" w:ascii="仿宋_GB2312" w:cs="仿宋_GB2312"/>
          <w:color w:val="000000"/>
          <w:kern w:val="0"/>
          <w:sz w:val="32"/>
        </w:rPr>
        <w:t>个工作日，并向我局报送相关信息；验收报告公示期满后</w:t>
      </w:r>
      <w:r>
        <w:rPr>
          <w:rFonts w:ascii="仿宋_GB2312" w:cs="仿宋_GB2312"/>
          <w:color w:val="000000"/>
          <w:kern w:val="0"/>
          <w:sz w:val="32"/>
        </w:rPr>
        <w:t>5</w:t>
      </w:r>
      <w:r>
        <w:rPr>
          <w:rFonts w:hint="eastAsia" w:ascii="仿宋_GB2312" w:cs="仿宋_GB2312"/>
          <w:color w:val="000000"/>
          <w:kern w:val="0"/>
          <w:sz w:val="32"/>
        </w:rPr>
        <w:t>个工作日内，建设单位应当登录</w:t>
      </w:r>
      <w:r>
        <w:rPr>
          <w:rFonts w:ascii="仿宋_GB2312" w:cs="仿宋_GB2312"/>
          <w:color w:val="000000"/>
          <w:kern w:val="0"/>
          <w:sz w:val="32"/>
        </w:rPr>
        <w:t>“</w:t>
      </w:r>
      <w:r>
        <w:rPr>
          <w:rFonts w:hint="eastAsia" w:ascii="仿宋_GB2312" w:cs="仿宋_GB2312"/>
          <w:color w:val="000000"/>
          <w:kern w:val="0"/>
          <w:sz w:val="32"/>
        </w:rPr>
        <w:t>全国建设项目竣工环境保护验收信息平台</w:t>
      </w:r>
      <w:r>
        <w:rPr>
          <w:rFonts w:ascii="仿宋_GB2312" w:cs="仿宋_GB2312"/>
          <w:color w:val="000000"/>
          <w:kern w:val="0"/>
          <w:sz w:val="32"/>
        </w:rPr>
        <w:t>”</w:t>
      </w:r>
      <w:r>
        <w:rPr>
          <w:rFonts w:hint="eastAsia" w:ascii="仿宋_GB2312" w:cs="仿宋_GB2312"/>
          <w:color w:val="000000"/>
          <w:kern w:val="0"/>
          <w:sz w:val="32"/>
        </w:rPr>
        <w:t>（网址为</w:t>
      </w:r>
      <w:r>
        <w:rPr>
          <w:rFonts w:ascii="仿宋_GB2312" w:cs="仿宋_GB2312"/>
          <w:color w:val="000000"/>
          <w:kern w:val="0"/>
          <w:sz w:val="32"/>
        </w:rPr>
        <w:t>http://114.251.10.205</w:t>
      </w:r>
      <w:r>
        <w:rPr>
          <w:rFonts w:hint="eastAsia" w:ascii="仿宋_GB2312" w:cs="仿宋_GB2312"/>
          <w:color w:val="000000"/>
          <w:kern w:val="0"/>
          <w:sz w:val="32"/>
        </w:rPr>
        <w:t>），填报建设项目基本信息、环境保护设施验收情况等相关信息。</w:t>
      </w:r>
    </w:p>
    <w:p>
      <w:pPr>
        <w:adjustRightInd w:val="0"/>
        <w:snapToGrid w:val="0"/>
        <w:spacing w:line="560" w:lineRule="exact"/>
        <w:ind w:firstLine="610" w:firstLineChars="200"/>
        <w:rPr>
          <w:rFonts w:ascii="仿宋_GB2312"/>
        </w:rPr>
      </w:pPr>
      <w:r>
        <w:rPr>
          <w:rFonts w:hint="eastAsia" w:ascii="仿宋_GB2312" w:cs="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cs="仿宋_GB2312"/>
        </w:rPr>
      </w:pPr>
      <w:r>
        <w:rPr>
          <w:rFonts w:hint="eastAsia" w:ascii="仿宋_GB2312" w:cs="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cs="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pPr>
      <w:r>
        <w:rPr>
          <w:rFonts w:hint="eastAsia"/>
        </w:rPr>
        <w:t>七、十三团按照《关于印发</w:t>
      </w:r>
      <w:r>
        <w:t>&lt;</w:t>
      </w:r>
      <w:r>
        <w:rPr>
          <w:rFonts w:hint="eastAsia"/>
        </w:rPr>
        <w:t>第一师阿拉尔市生态环境保护工作职责暂行规定（试行）</w:t>
      </w:r>
      <w:r>
        <w:t>&gt;</w:t>
      </w:r>
      <w:r>
        <w:rPr>
          <w:rFonts w:hint="eastAsia"/>
        </w:rPr>
        <w:t>的通知》（师市环委办发</w:t>
      </w:r>
      <w:r>
        <w:rPr>
          <w:rFonts w:hint="eastAsia" w:ascii="仿宋_GB2312"/>
          <w:kern w:val="0"/>
        </w:rPr>
        <w:t>〔</w:t>
      </w:r>
      <w:r>
        <w:rPr>
          <w:rFonts w:ascii="仿宋_GB2312"/>
          <w:kern w:val="0"/>
        </w:rPr>
        <w:t>2020</w:t>
      </w:r>
      <w:r>
        <w:rPr>
          <w:rFonts w:hint="eastAsia" w:ascii="仿宋_GB2312"/>
          <w:kern w:val="0"/>
        </w:rPr>
        <w:t>〕</w:t>
      </w:r>
      <w:r>
        <w:rPr>
          <w:rFonts w:ascii="仿宋_GB2312"/>
          <w:kern w:val="0"/>
        </w:rPr>
        <w:t>1</w:t>
      </w:r>
      <w:r>
        <w:rPr>
          <w:rFonts w:hint="eastAsia" w:ascii="仿宋_GB2312"/>
          <w:kern w:val="0"/>
        </w:rPr>
        <w:t>号</w:t>
      </w:r>
      <w:r>
        <w:rPr>
          <w:rFonts w:hint="eastAsia"/>
        </w:rPr>
        <w:t>）要求，做好项目环境监管工作，师市生态环境保护综合行政执法支队做好项目的抽查日常监督管理工作。</w:t>
      </w:r>
    </w:p>
    <w:p>
      <w:pPr>
        <w:pStyle w:val="2"/>
      </w:pPr>
    </w:p>
    <w:p/>
    <w:p>
      <w:pPr>
        <w:adjustRightInd w:val="0"/>
        <w:snapToGrid w:val="0"/>
        <w:spacing w:line="560" w:lineRule="exact"/>
        <w:ind w:firstLine="5054" w:firstLineChars="1657"/>
        <w:rPr>
          <w:rFonts w:ascii="仿宋_GB2312"/>
          <w:kern w:val="0"/>
        </w:rPr>
      </w:pPr>
      <w:r>
        <w:rPr>
          <w:rFonts w:hint="eastAsia" w:ascii="仿宋_GB2312" w:cs="仿宋_GB2312"/>
          <w:kern w:val="0"/>
        </w:rPr>
        <w:t>第一师阿拉尔市生态环境局</w:t>
      </w:r>
    </w:p>
    <w:p>
      <w:r>
        <w:rPr>
          <w:rFonts w:ascii="仿宋_GB2312"/>
          <w:kern w:val="0"/>
        </w:rPr>
        <w:t xml:space="preserve">                                      2021</w:t>
      </w:r>
      <w:r>
        <w:rPr>
          <w:rFonts w:hint="eastAsia" w:ascii="仿宋_GB2312"/>
          <w:kern w:val="0"/>
        </w:rPr>
        <w:t>年</w:t>
      </w:r>
      <w:r>
        <w:rPr>
          <w:rFonts w:ascii="仿宋_GB2312"/>
          <w:kern w:val="0"/>
        </w:rPr>
        <w:t>10</w:t>
      </w:r>
      <w:r>
        <w:rPr>
          <w:rFonts w:hint="eastAsia" w:ascii="仿宋_GB2312" w:cs="仿宋_GB2312"/>
          <w:kern w:val="0"/>
        </w:rPr>
        <w:t>月</w:t>
      </w:r>
      <w:r>
        <w:rPr>
          <w:rFonts w:ascii="仿宋_GB2312" w:cs="仿宋_GB2312"/>
          <w:kern w:val="0"/>
        </w:rPr>
        <w:t>12</w:t>
      </w:r>
      <w:r>
        <w:rPr>
          <w:rFonts w:hint="eastAsia" w:ascii="仿宋_GB2312" w:cs="仿宋_GB2312"/>
          <w:kern w:val="0"/>
        </w:rPr>
        <w:t>日</w:t>
      </w:r>
    </w:p>
    <w:p>
      <w:pPr>
        <w:adjustRightInd w:val="0"/>
        <w:snapToGrid w:val="0"/>
        <w:spacing w:line="560" w:lineRule="exact"/>
        <w:ind w:firstLine="4121" w:firstLineChars="1351"/>
        <w:rPr>
          <w:rFonts w:ascii="仿宋_GB2312"/>
          <w:color w:val="0000FF"/>
          <w:kern w:val="0"/>
        </w:rPr>
      </w:pPr>
    </w:p>
    <w:p>
      <w:pPr>
        <w:pStyle w:val="14"/>
        <w:ind w:left="609" w:firstLine="0" w:firstLineChars="0"/>
        <w:rPr>
          <w:color w:val="0000FF"/>
        </w:rPr>
      </w:pPr>
    </w:p>
    <w:p>
      <w:pPr>
        <w:pStyle w:val="14"/>
        <w:ind w:left="609" w:firstLine="0" w:firstLineChars="0"/>
        <w:rPr>
          <w:color w:val="0000FF"/>
        </w:rPr>
      </w:pPr>
    </w:p>
    <w:p>
      <w:pPr>
        <w:pStyle w:val="14"/>
        <w:ind w:left="609" w:firstLine="0" w:firstLineChars="0"/>
        <w:rPr>
          <w:color w:val="0000FF"/>
        </w:rPr>
      </w:pPr>
    </w:p>
    <w:p>
      <w:pPr>
        <w:pStyle w:val="14"/>
        <w:ind w:left="609" w:firstLine="0" w:firstLineChars="0"/>
        <w:rPr>
          <w:color w:val="0000FF"/>
        </w:rPr>
      </w:pPr>
    </w:p>
    <w:p>
      <w:pPr>
        <w:pStyle w:val="14"/>
        <w:spacing w:line="240" w:lineRule="exact"/>
        <w:ind w:left="609" w:firstLine="0" w:firstLineChars="0"/>
        <w:rPr>
          <w:color w:val="0000FF"/>
        </w:rPr>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pStyle w:val="14"/>
        <w:spacing w:line="240" w:lineRule="exact"/>
        <w:ind w:left="0" w:leftChars="0" w:firstLine="0" w:firstLineChars="0"/>
      </w:pPr>
    </w:p>
    <w:p>
      <w:pPr>
        <w:topLinePunct/>
        <w:adjustRightInd w:val="0"/>
        <w:snapToGrid w:val="0"/>
        <w:spacing w:line="520" w:lineRule="exact"/>
        <w:ind w:left="795" w:hanging="795" w:hangingChars="300"/>
        <w:rPr>
          <w:rFonts w:ascii="仿宋_GB2312" w:cs="仿宋_GB2312"/>
          <w:spacing w:val="-3"/>
          <w:sz w:val="28"/>
          <w:szCs w:val="28"/>
        </w:rPr>
      </w:pPr>
      <w:r>
        <w:rPr>
          <w:sz w:val="28"/>
          <w:szCs w:val="28"/>
        </w:rPr>
        <w:pict>
          <v:line id="_x0000_s1028" o:spid="_x0000_s1028" o:spt="20" style="position:absolute;left:0pt;margin-left:-2.3pt;margin-top:0.3pt;height:0pt;width:456.9pt;z-index:251659264;mso-width-relative:page;mso-height-relative:page;" coordsize="21600,21600">
            <v:path arrowok="t"/>
            <v:fill focussize="0,0"/>
            <v:stroke weight="1.5pt"/>
            <v:imagedata o:title=""/>
            <o:lock v:ext="edit"/>
          </v:line>
        </w:pict>
      </w:r>
      <w:r>
        <w:rPr>
          <w:rFonts w:hint="eastAsia" w:ascii="仿宋_GB2312" w:hAnsi="仿宋_GB2312" w:cs="仿宋_GB2312"/>
          <w:spacing w:val="-3"/>
          <w:sz w:val="28"/>
          <w:szCs w:val="28"/>
        </w:rPr>
        <w:t>抄送：师市相关领导，发改委、自然资源和规划局、水利局、十三团、生态环境保护综合行政执法支队，新疆兵团勘测设计院（集团）有限责任公司。</w:t>
      </w:r>
    </w:p>
    <w:p>
      <w:pPr>
        <w:topLinePunct/>
        <w:adjustRightInd w:val="0"/>
        <w:snapToGrid w:val="0"/>
        <w:spacing w:line="520" w:lineRule="exact"/>
        <w:ind w:firstLine="305" w:firstLineChars="100"/>
        <w:rPr>
          <w:sz w:val="28"/>
          <w:szCs w:val="28"/>
        </w:rPr>
      </w:pPr>
      <w:r>
        <w:pict>
          <v:line id="_x0000_s1029" o:spid="_x0000_s1029" o:spt="20" style="position:absolute;left:0pt;margin-left:-3.75pt;margin-top:29.55pt;height:0pt;width:456.9pt;z-index:251660288;mso-width-relative:page;mso-height-relative:page;" coordsize="21600,21600">
            <v:path arrowok="t"/>
            <v:fill focussize="0,0"/>
            <v:stroke weight="1.5pt"/>
            <v:imagedata o:title=""/>
            <o:lock v:ext="edit"/>
          </v:line>
        </w:pict>
      </w:r>
      <w:r>
        <w:pict>
          <v:line id="_x0000_s1030" o:spid="_x0000_s1030" o:spt="20" style="position:absolute;left:0pt;margin-left:-3.55pt;margin-top:2.05pt;height:0pt;width:456.9pt;z-index:251661312;mso-width-relative:page;mso-height-relative:page;" coordsize="21600,21600">
            <v:path arrowok="t"/>
            <v:fill focussize="0,0"/>
            <v:stroke/>
            <v:imagedata o:title=""/>
            <o:lock v:ext="edit"/>
          </v:line>
        </w:pict>
      </w:r>
      <w:r>
        <w:rPr>
          <w:rFonts w:hint="eastAsia"/>
          <w:sz w:val="28"/>
          <w:szCs w:val="28"/>
        </w:rPr>
        <w:t>第一师阿拉尔市生态环境局</w:t>
      </w:r>
      <w:r>
        <w:rPr>
          <w:sz w:val="28"/>
          <w:szCs w:val="28"/>
        </w:rPr>
        <w:t xml:space="preserve">                    </w:t>
      </w:r>
      <w:bookmarkStart w:id="0" w:name="_GoBack"/>
      <w:bookmarkEnd w:id="0"/>
      <w:r>
        <w:rPr>
          <w:sz w:val="28"/>
          <w:szCs w:val="28"/>
        </w:rPr>
        <w:t xml:space="preserve"> </w:t>
      </w:r>
      <w:r>
        <w:rPr>
          <w:kern w:val="0"/>
          <w:sz w:val="28"/>
          <w:szCs w:val="28"/>
        </w:rPr>
        <w:t>2021</w:t>
      </w:r>
      <w:r>
        <w:rPr>
          <w:rFonts w:hint="eastAsia"/>
          <w:kern w:val="0"/>
          <w:sz w:val="28"/>
          <w:szCs w:val="28"/>
        </w:rPr>
        <w:t>年</w:t>
      </w:r>
      <w:r>
        <w:rPr>
          <w:kern w:val="0"/>
          <w:sz w:val="28"/>
          <w:szCs w:val="28"/>
        </w:rPr>
        <w:t>10</w:t>
      </w:r>
      <w:r>
        <w:rPr>
          <w:rFonts w:hint="eastAsia"/>
          <w:kern w:val="0"/>
          <w:sz w:val="28"/>
          <w:szCs w:val="28"/>
        </w:rPr>
        <w:t>月</w:t>
      </w:r>
      <w:r>
        <w:rPr>
          <w:kern w:val="0"/>
          <w:sz w:val="28"/>
          <w:szCs w:val="28"/>
        </w:rPr>
        <w:t>12</w:t>
      </w:r>
      <w:r>
        <w:rPr>
          <w:rFonts w:hint="eastAsia"/>
          <w:kern w:val="0"/>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仿宋_GB2312"/>
        <w:sz w:val="28"/>
        <w:szCs w:val="28"/>
      </w:rPr>
    </w:pPr>
    <w:r>
      <w:pict>
        <v:shape id="文本框 5"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6</w:t>
                </w:r>
                <w:r>
                  <w:rPr>
                    <w:rFonts w:ascii="仿宋_GB2312"/>
                    <w:sz w:val="28"/>
                    <w:szCs w:val="28"/>
                  </w:rPr>
                  <w:fldChar w:fldCharType="end"/>
                </w:r>
                <w:r>
                  <w:rPr>
                    <w:rFonts w:ascii="仿宋_GB2312"/>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ascii="仿宋_GB2312"/>
        <w:sz w:val="28"/>
        <w:szCs w:val="28"/>
      </w:rPr>
    </w:pPr>
    <w:r>
      <w:rPr>
        <w:rFonts w:ascii="仿宋_GB2312"/>
        <w:sz w:val="28"/>
        <w:szCs w:val="28"/>
      </w:rPr>
      <w:t xml:space="preserve">— </w:t>
    </w:r>
    <w:r>
      <w:rPr>
        <w:rStyle w:val="17"/>
        <w:rFonts w:ascii="仿宋_GB2312"/>
        <w:sz w:val="28"/>
        <w:szCs w:val="28"/>
      </w:rPr>
      <w:fldChar w:fldCharType="begin"/>
    </w:r>
    <w:r>
      <w:rPr>
        <w:rStyle w:val="17"/>
        <w:rFonts w:ascii="仿宋_GB2312"/>
        <w:sz w:val="28"/>
        <w:szCs w:val="28"/>
      </w:rPr>
      <w:instrText xml:space="preserve"> PAGE </w:instrText>
    </w:r>
    <w:r>
      <w:rPr>
        <w:rStyle w:val="17"/>
        <w:rFonts w:ascii="仿宋_GB2312"/>
        <w:sz w:val="28"/>
        <w:szCs w:val="28"/>
      </w:rPr>
      <w:fldChar w:fldCharType="separate"/>
    </w:r>
    <w:r>
      <w:rPr>
        <w:rStyle w:val="17"/>
        <w:rFonts w:ascii="仿宋_GB2312"/>
        <w:sz w:val="28"/>
        <w:szCs w:val="28"/>
      </w:rPr>
      <w:t>4</w:t>
    </w:r>
    <w:r>
      <w:rPr>
        <w:rStyle w:val="17"/>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4CD"/>
    <w:rsid w:val="0002100E"/>
    <w:rsid w:val="00025129"/>
    <w:rsid w:val="0003627E"/>
    <w:rsid w:val="00042F54"/>
    <w:rsid w:val="0004361B"/>
    <w:rsid w:val="00067B08"/>
    <w:rsid w:val="00073C72"/>
    <w:rsid w:val="00081DFA"/>
    <w:rsid w:val="0009177B"/>
    <w:rsid w:val="000C10E0"/>
    <w:rsid w:val="000D0248"/>
    <w:rsid w:val="000E325E"/>
    <w:rsid w:val="000E36E3"/>
    <w:rsid w:val="000F6540"/>
    <w:rsid w:val="00102670"/>
    <w:rsid w:val="001131A0"/>
    <w:rsid w:val="0011780B"/>
    <w:rsid w:val="001351AA"/>
    <w:rsid w:val="001431BE"/>
    <w:rsid w:val="001478A1"/>
    <w:rsid w:val="00151BC5"/>
    <w:rsid w:val="001639FC"/>
    <w:rsid w:val="00171DAC"/>
    <w:rsid w:val="00172A27"/>
    <w:rsid w:val="00173C39"/>
    <w:rsid w:val="00182FEC"/>
    <w:rsid w:val="001873FD"/>
    <w:rsid w:val="00197655"/>
    <w:rsid w:val="001A2A43"/>
    <w:rsid w:val="001A76FC"/>
    <w:rsid w:val="001C118C"/>
    <w:rsid w:val="001C4019"/>
    <w:rsid w:val="001C6802"/>
    <w:rsid w:val="001C7850"/>
    <w:rsid w:val="001D3427"/>
    <w:rsid w:val="001D4454"/>
    <w:rsid w:val="001E3B52"/>
    <w:rsid w:val="0020163E"/>
    <w:rsid w:val="00217698"/>
    <w:rsid w:val="00221F17"/>
    <w:rsid w:val="00227C51"/>
    <w:rsid w:val="00242BA0"/>
    <w:rsid w:val="00254E0E"/>
    <w:rsid w:val="002751BF"/>
    <w:rsid w:val="00295BA8"/>
    <w:rsid w:val="002A3C15"/>
    <w:rsid w:val="002B19C8"/>
    <w:rsid w:val="002B542D"/>
    <w:rsid w:val="002B6DD0"/>
    <w:rsid w:val="002C547B"/>
    <w:rsid w:val="002C7438"/>
    <w:rsid w:val="002D4273"/>
    <w:rsid w:val="002D6981"/>
    <w:rsid w:val="002F3867"/>
    <w:rsid w:val="002F5F6B"/>
    <w:rsid w:val="00301877"/>
    <w:rsid w:val="003023C4"/>
    <w:rsid w:val="00304D0B"/>
    <w:rsid w:val="003111A9"/>
    <w:rsid w:val="00343BAE"/>
    <w:rsid w:val="00344500"/>
    <w:rsid w:val="0034681B"/>
    <w:rsid w:val="003514E8"/>
    <w:rsid w:val="00356217"/>
    <w:rsid w:val="00362623"/>
    <w:rsid w:val="0037214A"/>
    <w:rsid w:val="0037702A"/>
    <w:rsid w:val="00381759"/>
    <w:rsid w:val="00387BD7"/>
    <w:rsid w:val="0039331B"/>
    <w:rsid w:val="003A7228"/>
    <w:rsid w:val="003C0176"/>
    <w:rsid w:val="003F3A9F"/>
    <w:rsid w:val="003F3CAB"/>
    <w:rsid w:val="003F5ECF"/>
    <w:rsid w:val="003F754F"/>
    <w:rsid w:val="003F7F32"/>
    <w:rsid w:val="00414269"/>
    <w:rsid w:val="0042735D"/>
    <w:rsid w:val="00437564"/>
    <w:rsid w:val="00453A41"/>
    <w:rsid w:val="00467A46"/>
    <w:rsid w:val="004A08A4"/>
    <w:rsid w:val="004A0B75"/>
    <w:rsid w:val="004B6A5E"/>
    <w:rsid w:val="004C21F7"/>
    <w:rsid w:val="004D50DF"/>
    <w:rsid w:val="004E59A2"/>
    <w:rsid w:val="004E78FB"/>
    <w:rsid w:val="0050203A"/>
    <w:rsid w:val="005034F0"/>
    <w:rsid w:val="005065C1"/>
    <w:rsid w:val="00510729"/>
    <w:rsid w:val="00521645"/>
    <w:rsid w:val="0054008B"/>
    <w:rsid w:val="00544F64"/>
    <w:rsid w:val="00552199"/>
    <w:rsid w:val="0056250B"/>
    <w:rsid w:val="0056471E"/>
    <w:rsid w:val="005658BF"/>
    <w:rsid w:val="00573380"/>
    <w:rsid w:val="00574966"/>
    <w:rsid w:val="00595200"/>
    <w:rsid w:val="005A0EF4"/>
    <w:rsid w:val="005A1702"/>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B1468"/>
    <w:rsid w:val="006C14B9"/>
    <w:rsid w:val="006D69B8"/>
    <w:rsid w:val="006D7837"/>
    <w:rsid w:val="006E2A50"/>
    <w:rsid w:val="006F2C0B"/>
    <w:rsid w:val="00702A5C"/>
    <w:rsid w:val="007030C7"/>
    <w:rsid w:val="00706D5A"/>
    <w:rsid w:val="00722814"/>
    <w:rsid w:val="00725EB1"/>
    <w:rsid w:val="007375C9"/>
    <w:rsid w:val="00754E03"/>
    <w:rsid w:val="00764C46"/>
    <w:rsid w:val="0076670F"/>
    <w:rsid w:val="0076673A"/>
    <w:rsid w:val="0077154D"/>
    <w:rsid w:val="00782DFB"/>
    <w:rsid w:val="00785FDD"/>
    <w:rsid w:val="00790D02"/>
    <w:rsid w:val="00791A3F"/>
    <w:rsid w:val="007920AE"/>
    <w:rsid w:val="00794C98"/>
    <w:rsid w:val="007A536E"/>
    <w:rsid w:val="007B14CA"/>
    <w:rsid w:val="007B75B9"/>
    <w:rsid w:val="007C2643"/>
    <w:rsid w:val="007C727B"/>
    <w:rsid w:val="007C7434"/>
    <w:rsid w:val="007E7E36"/>
    <w:rsid w:val="007F26DF"/>
    <w:rsid w:val="008000AF"/>
    <w:rsid w:val="0081763C"/>
    <w:rsid w:val="008473C2"/>
    <w:rsid w:val="00870BDC"/>
    <w:rsid w:val="008A0CD9"/>
    <w:rsid w:val="008A3DE4"/>
    <w:rsid w:val="008B3ABC"/>
    <w:rsid w:val="008B4592"/>
    <w:rsid w:val="008B53D6"/>
    <w:rsid w:val="008C3007"/>
    <w:rsid w:val="008C4076"/>
    <w:rsid w:val="008C6DA2"/>
    <w:rsid w:val="008D4DA6"/>
    <w:rsid w:val="008E4CAD"/>
    <w:rsid w:val="009156F4"/>
    <w:rsid w:val="00940701"/>
    <w:rsid w:val="009451BE"/>
    <w:rsid w:val="00967F11"/>
    <w:rsid w:val="009717AE"/>
    <w:rsid w:val="009831E4"/>
    <w:rsid w:val="009A57E1"/>
    <w:rsid w:val="009A6ADB"/>
    <w:rsid w:val="009C4D01"/>
    <w:rsid w:val="009C7135"/>
    <w:rsid w:val="009D32CE"/>
    <w:rsid w:val="009D3FB3"/>
    <w:rsid w:val="00A022D0"/>
    <w:rsid w:val="00A10371"/>
    <w:rsid w:val="00A10A64"/>
    <w:rsid w:val="00A310E4"/>
    <w:rsid w:val="00A4697E"/>
    <w:rsid w:val="00A47725"/>
    <w:rsid w:val="00A536B5"/>
    <w:rsid w:val="00A648A1"/>
    <w:rsid w:val="00A657FC"/>
    <w:rsid w:val="00A6628E"/>
    <w:rsid w:val="00A750A6"/>
    <w:rsid w:val="00A77C79"/>
    <w:rsid w:val="00AA3603"/>
    <w:rsid w:val="00AA4D77"/>
    <w:rsid w:val="00AB6EF5"/>
    <w:rsid w:val="00AC4A8C"/>
    <w:rsid w:val="00AC6CC0"/>
    <w:rsid w:val="00AD3DAD"/>
    <w:rsid w:val="00AE033B"/>
    <w:rsid w:val="00AE1A9B"/>
    <w:rsid w:val="00AE63B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11A3B"/>
    <w:rsid w:val="00C21A9D"/>
    <w:rsid w:val="00C3702C"/>
    <w:rsid w:val="00C62C13"/>
    <w:rsid w:val="00C6330E"/>
    <w:rsid w:val="00C83EEA"/>
    <w:rsid w:val="00C965F6"/>
    <w:rsid w:val="00CA71CC"/>
    <w:rsid w:val="00CB00DE"/>
    <w:rsid w:val="00CC34A6"/>
    <w:rsid w:val="00CC768D"/>
    <w:rsid w:val="00CD5C21"/>
    <w:rsid w:val="00CD6137"/>
    <w:rsid w:val="00CF24A0"/>
    <w:rsid w:val="00CF6420"/>
    <w:rsid w:val="00D031D8"/>
    <w:rsid w:val="00D033F3"/>
    <w:rsid w:val="00D3088C"/>
    <w:rsid w:val="00D34FA7"/>
    <w:rsid w:val="00D51444"/>
    <w:rsid w:val="00D6121A"/>
    <w:rsid w:val="00D62111"/>
    <w:rsid w:val="00D624A5"/>
    <w:rsid w:val="00D62772"/>
    <w:rsid w:val="00D84041"/>
    <w:rsid w:val="00DC2A23"/>
    <w:rsid w:val="00DD7B76"/>
    <w:rsid w:val="00DE4EA5"/>
    <w:rsid w:val="00DF55D1"/>
    <w:rsid w:val="00E16BE8"/>
    <w:rsid w:val="00E205D2"/>
    <w:rsid w:val="00E20F24"/>
    <w:rsid w:val="00E231D6"/>
    <w:rsid w:val="00E36172"/>
    <w:rsid w:val="00E61664"/>
    <w:rsid w:val="00E62930"/>
    <w:rsid w:val="00E74521"/>
    <w:rsid w:val="00E77F83"/>
    <w:rsid w:val="00E9496E"/>
    <w:rsid w:val="00E962A4"/>
    <w:rsid w:val="00EB462A"/>
    <w:rsid w:val="00EB6D86"/>
    <w:rsid w:val="00EC2B80"/>
    <w:rsid w:val="00EC43F2"/>
    <w:rsid w:val="00EE1372"/>
    <w:rsid w:val="00EE7E1B"/>
    <w:rsid w:val="00EF36B4"/>
    <w:rsid w:val="00F2189F"/>
    <w:rsid w:val="00F3491A"/>
    <w:rsid w:val="00F35718"/>
    <w:rsid w:val="00F37145"/>
    <w:rsid w:val="00F37233"/>
    <w:rsid w:val="00F47EFE"/>
    <w:rsid w:val="00F64F83"/>
    <w:rsid w:val="00F86B97"/>
    <w:rsid w:val="00F977D2"/>
    <w:rsid w:val="00FB12D5"/>
    <w:rsid w:val="00FB2EBF"/>
    <w:rsid w:val="00FB3D4F"/>
    <w:rsid w:val="00FC166D"/>
    <w:rsid w:val="00FD02D8"/>
    <w:rsid w:val="00FF1A9F"/>
    <w:rsid w:val="00FF658E"/>
    <w:rsid w:val="00FF75C2"/>
    <w:rsid w:val="01064ED7"/>
    <w:rsid w:val="02B04992"/>
    <w:rsid w:val="034755F0"/>
    <w:rsid w:val="035D241C"/>
    <w:rsid w:val="03D12BCA"/>
    <w:rsid w:val="05266A20"/>
    <w:rsid w:val="0541795A"/>
    <w:rsid w:val="05D43962"/>
    <w:rsid w:val="08811A5C"/>
    <w:rsid w:val="0A3D630E"/>
    <w:rsid w:val="0AC72C95"/>
    <w:rsid w:val="0AD425F9"/>
    <w:rsid w:val="0D027E89"/>
    <w:rsid w:val="0E395175"/>
    <w:rsid w:val="0EF07023"/>
    <w:rsid w:val="106A30F3"/>
    <w:rsid w:val="14FD6733"/>
    <w:rsid w:val="16777147"/>
    <w:rsid w:val="173166B8"/>
    <w:rsid w:val="17A92121"/>
    <w:rsid w:val="17D468F4"/>
    <w:rsid w:val="196E264E"/>
    <w:rsid w:val="1AF44BD8"/>
    <w:rsid w:val="1B4A2CAF"/>
    <w:rsid w:val="1CAF43B1"/>
    <w:rsid w:val="1D246E55"/>
    <w:rsid w:val="1DA90861"/>
    <w:rsid w:val="1DB85381"/>
    <w:rsid w:val="1E7476C9"/>
    <w:rsid w:val="1F971FD4"/>
    <w:rsid w:val="200E15B3"/>
    <w:rsid w:val="211667CB"/>
    <w:rsid w:val="21530B74"/>
    <w:rsid w:val="23321237"/>
    <w:rsid w:val="239B50D7"/>
    <w:rsid w:val="248F452F"/>
    <w:rsid w:val="24DB4525"/>
    <w:rsid w:val="258973A9"/>
    <w:rsid w:val="2591376E"/>
    <w:rsid w:val="263C168D"/>
    <w:rsid w:val="269902DF"/>
    <w:rsid w:val="275746DD"/>
    <w:rsid w:val="27600519"/>
    <w:rsid w:val="279B1CED"/>
    <w:rsid w:val="295B2467"/>
    <w:rsid w:val="2A364AB6"/>
    <w:rsid w:val="2A811409"/>
    <w:rsid w:val="2AA26EDD"/>
    <w:rsid w:val="2E027CBC"/>
    <w:rsid w:val="30455855"/>
    <w:rsid w:val="31785F6E"/>
    <w:rsid w:val="31B0734E"/>
    <w:rsid w:val="31B5299E"/>
    <w:rsid w:val="32342547"/>
    <w:rsid w:val="32E10D6E"/>
    <w:rsid w:val="338D6A75"/>
    <w:rsid w:val="33E402A7"/>
    <w:rsid w:val="342C2E72"/>
    <w:rsid w:val="35621FD3"/>
    <w:rsid w:val="37621267"/>
    <w:rsid w:val="37D537C3"/>
    <w:rsid w:val="391E7A5F"/>
    <w:rsid w:val="39AD1841"/>
    <w:rsid w:val="3BC43568"/>
    <w:rsid w:val="3C6D1C18"/>
    <w:rsid w:val="40061315"/>
    <w:rsid w:val="40ED03F5"/>
    <w:rsid w:val="4198770E"/>
    <w:rsid w:val="42F77C98"/>
    <w:rsid w:val="44CE3819"/>
    <w:rsid w:val="44FC29CD"/>
    <w:rsid w:val="45A75901"/>
    <w:rsid w:val="46022F6A"/>
    <w:rsid w:val="47784399"/>
    <w:rsid w:val="49E071E3"/>
    <w:rsid w:val="4A240FA5"/>
    <w:rsid w:val="4B774B0B"/>
    <w:rsid w:val="4C30095A"/>
    <w:rsid w:val="4C3345A7"/>
    <w:rsid w:val="4D683FE0"/>
    <w:rsid w:val="4E74734C"/>
    <w:rsid w:val="4F797014"/>
    <w:rsid w:val="508D765E"/>
    <w:rsid w:val="54502155"/>
    <w:rsid w:val="57F047FE"/>
    <w:rsid w:val="58747712"/>
    <w:rsid w:val="594B4499"/>
    <w:rsid w:val="5CD25C98"/>
    <w:rsid w:val="5E806409"/>
    <w:rsid w:val="5F9266A4"/>
    <w:rsid w:val="60182BAD"/>
    <w:rsid w:val="6105263C"/>
    <w:rsid w:val="6138315C"/>
    <w:rsid w:val="623E68BF"/>
    <w:rsid w:val="62833D3F"/>
    <w:rsid w:val="6378393C"/>
    <w:rsid w:val="63F123EB"/>
    <w:rsid w:val="643B27E7"/>
    <w:rsid w:val="64AC6C6D"/>
    <w:rsid w:val="64C3605F"/>
    <w:rsid w:val="64EF34AE"/>
    <w:rsid w:val="65281682"/>
    <w:rsid w:val="6764139C"/>
    <w:rsid w:val="67F13AD3"/>
    <w:rsid w:val="690F337D"/>
    <w:rsid w:val="6A5346D7"/>
    <w:rsid w:val="6C6670FC"/>
    <w:rsid w:val="6D3E2631"/>
    <w:rsid w:val="704979B6"/>
    <w:rsid w:val="71313099"/>
    <w:rsid w:val="71536BC6"/>
    <w:rsid w:val="7215000D"/>
    <w:rsid w:val="727609EA"/>
    <w:rsid w:val="734B05C2"/>
    <w:rsid w:val="7414378F"/>
    <w:rsid w:val="74C507FC"/>
    <w:rsid w:val="75421228"/>
    <w:rsid w:val="75963FB7"/>
    <w:rsid w:val="78165F38"/>
    <w:rsid w:val="79172FB5"/>
    <w:rsid w:val="794C523A"/>
    <w:rsid w:val="79890041"/>
    <w:rsid w:val="7DE1518D"/>
    <w:rsid w:val="7E24255E"/>
    <w:rsid w:val="7F1B59B5"/>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link w:val="19"/>
    <w:qFormat/>
    <w:locked/>
    <w:uiPriority w:val="99"/>
    <w:pPr>
      <w:keepNext/>
      <w:keepLines/>
      <w:spacing w:line="416" w:lineRule="auto"/>
      <w:outlineLvl w:val="1"/>
    </w:pPr>
    <w:rPr>
      <w:rFonts w:ascii="Arial" w:hAnsi="Arial" w:eastAsia="黑体"/>
      <w:b/>
      <w:bCs/>
    </w:rPr>
  </w:style>
  <w:style w:type="character" w:default="1" w:styleId="16">
    <w:name w:val="Default Paragraph Font"/>
    <w:semiHidden/>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uiPriority w:val="99"/>
    <w:pPr>
      <w:autoSpaceDE w:val="0"/>
      <w:autoSpaceDN w:val="0"/>
      <w:jc w:val="left"/>
    </w:pPr>
    <w:rPr>
      <w:rFonts w:ascii="宋体" w:eastAsia="宋体"/>
      <w:color w:val="000000"/>
      <w:kern w:val="0"/>
      <w:sz w:val="24"/>
      <w:szCs w:val="24"/>
    </w:rPr>
  </w:style>
  <w:style w:type="paragraph" w:styleId="4">
    <w:name w:val="Normal Indent"/>
    <w:basedOn w:val="1"/>
    <w:link w:val="34"/>
    <w:qFormat/>
    <w:uiPriority w:val="99"/>
    <w:pPr>
      <w:spacing w:line="520" w:lineRule="exact"/>
      <w:ind w:firstLine="624"/>
    </w:pPr>
    <w:rPr>
      <w:rFonts w:eastAsia="宋体"/>
      <w:sz w:val="28"/>
      <w:szCs w:val="20"/>
    </w:rPr>
  </w:style>
  <w:style w:type="paragraph" w:styleId="5">
    <w:name w:val="annotation text"/>
    <w:basedOn w:val="1"/>
    <w:link w:val="20"/>
    <w:semiHidden/>
    <w:qFormat/>
    <w:locked/>
    <w:uiPriority w:val="99"/>
    <w:pPr>
      <w:jc w:val="left"/>
    </w:pPr>
    <w:rPr>
      <w:kern w:val="0"/>
      <w:szCs w:val="20"/>
    </w:rPr>
  </w:style>
  <w:style w:type="paragraph" w:styleId="6">
    <w:name w:val="Body Text"/>
    <w:basedOn w:val="1"/>
    <w:link w:val="21"/>
    <w:qFormat/>
    <w:uiPriority w:val="99"/>
    <w:pPr>
      <w:spacing w:after="120"/>
    </w:pPr>
    <w:rPr>
      <w:kern w:val="0"/>
      <w:szCs w:val="20"/>
    </w:rPr>
  </w:style>
  <w:style w:type="paragraph" w:styleId="7">
    <w:name w:val="Body Text Indent"/>
    <w:basedOn w:val="1"/>
    <w:link w:val="22"/>
    <w:qFormat/>
    <w:uiPriority w:val="99"/>
    <w:pPr>
      <w:spacing w:after="120"/>
      <w:ind w:left="420" w:leftChars="200"/>
    </w:pPr>
    <w:rPr>
      <w:szCs w:val="20"/>
    </w:rPr>
  </w:style>
  <w:style w:type="paragraph" w:styleId="8">
    <w:name w:val="Plain Text"/>
    <w:basedOn w:val="1"/>
    <w:link w:val="31"/>
    <w:qFormat/>
    <w:uiPriority w:val="99"/>
    <w:rPr>
      <w:rFonts w:ascii="宋体" w:hAnsi="Courier New"/>
      <w:sz w:val="28"/>
      <w:szCs w:val="20"/>
    </w:rPr>
  </w:style>
  <w:style w:type="paragraph" w:styleId="9">
    <w:name w:val="Balloon Text"/>
    <w:basedOn w:val="1"/>
    <w:link w:val="24"/>
    <w:semiHidden/>
    <w:locked/>
    <w:uiPriority w:val="99"/>
    <w:rPr>
      <w:kern w:val="0"/>
      <w:sz w:val="2"/>
      <w:szCs w:val="20"/>
    </w:rPr>
  </w:style>
  <w:style w:type="paragraph" w:styleId="10">
    <w:name w:val="footer"/>
    <w:basedOn w:val="1"/>
    <w:link w:val="25"/>
    <w:uiPriority w:val="99"/>
    <w:pPr>
      <w:tabs>
        <w:tab w:val="center" w:pos="4153"/>
        <w:tab w:val="right" w:pos="8306"/>
      </w:tabs>
      <w:snapToGrid w:val="0"/>
      <w:jc w:val="left"/>
    </w:pPr>
    <w:rPr>
      <w:kern w:val="0"/>
      <w:sz w:val="18"/>
      <w:szCs w:val="20"/>
    </w:rPr>
  </w:style>
  <w:style w:type="paragraph" w:styleId="11">
    <w:name w:val="header"/>
    <w:basedOn w:val="1"/>
    <w:link w:val="26"/>
    <w:qFormat/>
    <w:uiPriority w:val="99"/>
    <w:pPr>
      <w:pBdr>
        <w:bottom w:val="thickThinSmallGap" w:color="auto" w:sz="24" w:space="1"/>
      </w:pBdr>
      <w:tabs>
        <w:tab w:val="center" w:pos="4153"/>
        <w:tab w:val="right" w:pos="8306"/>
      </w:tabs>
      <w:snapToGrid w:val="0"/>
      <w:jc w:val="center"/>
    </w:pPr>
    <w:rPr>
      <w:kern w:val="0"/>
      <w:sz w:val="18"/>
      <w:szCs w:val="20"/>
    </w:rPr>
  </w:style>
  <w:style w:type="paragraph" w:styleId="12">
    <w:name w:val="Normal (Web)"/>
    <w:basedOn w:val="1"/>
    <w:semiHidden/>
    <w:qFormat/>
    <w:locked/>
    <w:uiPriority w:val="99"/>
    <w:rPr>
      <w:sz w:val="24"/>
    </w:rPr>
  </w:style>
  <w:style w:type="paragraph" w:styleId="13">
    <w:name w:val="annotation subject"/>
    <w:basedOn w:val="5"/>
    <w:next w:val="5"/>
    <w:link w:val="27"/>
    <w:semiHidden/>
    <w:locked/>
    <w:uiPriority w:val="99"/>
    <w:rPr>
      <w:b/>
    </w:rPr>
  </w:style>
  <w:style w:type="paragraph" w:styleId="14">
    <w:name w:val="Body Text First Indent 2"/>
    <w:basedOn w:val="7"/>
    <w:link w:val="28"/>
    <w:locked/>
    <w:uiPriority w:val="99"/>
    <w:pPr>
      <w:ind w:firstLine="420" w:firstLineChars="200"/>
    </w:pPr>
  </w:style>
  <w:style w:type="character" w:styleId="17">
    <w:name w:val="page number"/>
    <w:basedOn w:val="16"/>
    <w:uiPriority w:val="99"/>
    <w:rPr>
      <w:rFonts w:cs="Times New Roman"/>
    </w:rPr>
  </w:style>
  <w:style w:type="character" w:styleId="18">
    <w:name w:val="annotation reference"/>
    <w:basedOn w:val="16"/>
    <w:uiPriority w:val="99"/>
    <w:rPr>
      <w:rFonts w:cs="Times New Roman"/>
      <w:sz w:val="21"/>
    </w:rPr>
  </w:style>
  <w:style w:type="character" w:customStyle="1" w:styleId="19">
    <w:name w:val="Heading 2 Char"/>
    <w:basedOn w:val="16"/>
    <w:link w:val="3"/>
    <w:semiHidden/>
    <w:uiPriority w:val="9"/>
    <w:rPr>
      <w:rFonts w:asciiTheme="majorHAnsi" w:hAnsiTheme="majorHAnsi" w:eastAsiaTheme="majorEastAsia" w:cstheme="majorBidi"/>
      <w:b/>
      <w:bCs/>
      <w:sz w:val="32"/>
      <w:szCs w:val="32"/>
    </w:rPr>
  </w:style>
  <w:style w:type="character" w:customStyle="1" w:styleId="20">
    <w:name w:val="Comment Text Char"/>
    <w:basedOn w:val="16"/>
    <w:link w:val="5"/>
    <w:semiHidden/>
    <w:qFormat/>
    <w:locked/>
    <w:uiPriority w:val="99"/>
    <w:rPr>
      <w:rFonts w:eastAsia="仿宋_GB2312" w:cs="Times New Roman"/>
      <w:sz w:val="32"/>
    </w:rPr>
  </w:style>
  <w:style w:type="character" w:customStyle="1" w:styleId="21">
    <w:name w:val="Body Text Char"/>
    <w:basedOn w:val="16"/>
    <w:link w:val="6"/>
    <w:semiHidden/>
    <w:qFormat/>
    <w:locked/>
    <w:uiPriority w:val="99"/>
    <w:rPr>
      <w:rFonts w:ascii="Times New Roman" w:hAnsi="Times New Roman" w:eastAsia="仿宋_GB2312" w:cs="Times New Roman"/>
      <w:sz w:val="32"/>
    </w:rPr>
  </w:style>
  <w:style w:type="character" w:customStyle="1" w:styleId="22">
    <w:name w:val="Body Text Indent Char"/>
    <w:basedOn w:val="16"/>
    <w:link w:val="7"/>
    <w:locked/>
    <w:uiPriority w:val="99"/>
    <w:rPr>
      <w:rFonts w:eastAsia="仿宋_GB2312" w:cs="Times New Roman"/>
      <w:kern w:val="2"/>
      <w:sz w:val="32"/>
    </w:rPr>
  </w:style>
  <w:style w:type="character" w:customStyle="1" w:styleId="23">
    <w:name w:val="Plain Text Char"/>
    <w:basedOn w:val="16"/>
    <w:link w:val="8"/>
    <w:qFormat/>
    <w:locked/>
    <w:uiPriority w:val="99"/>
    <w:rPr>
      <w:rFonts w:ascii="宋体" w:hAnsi="Courier New" w:cs="Times New Roman"/>
      <w:kern w:val="2"/>
      <w:sz w:val="21"/>
    </w:rPr>
  </w:style>
  <w:style w:type="character" w:customStyle="1" w:styleId="24">
    <w:name w:val="Balloon Text Char"/>
    <w:basedOn w:val="16"/>
    <w:link w:val="9"/>
    <w:semiHidden/>
    <w:locked/>
    <w:uiPriority w:val="99"/>
    <w:rPr>
      <w:rFonts w:eastAsia="仿宋_GB2312" w:cs="Times New Roman"/>
      <w:sz w:val="2"/>
    </w:rPr>
  </w:style>
  <w:style w:type="character" w:customStyle="1" w:styleId="25">
    <w:name w:val="Footer Char"/>
    <w:basedOn w:val="16"/>
    <w:link w:val="10"/>
    <w:semiHidden/>
    <w:qFormat/>
    <w:locked/>
    <w:uiPriority w:val="99"/>
    <w:rPr>
      <w:rFonts w:ascii="Times New Roman" w:hAnsi="Times New Roman" w:eastAsia="仿宋_GB2312" w:cs="Times New Roman"/>
      <w:sz w:val="18"/>
    </w:rPr>
  </w:style>
  <w:style w:type="character" w:customStyle="1" w:styleId="26">
    <w:name w:val="Header Char"/>
    <w:basedOn w:val="16"/>
    <w:link w:val="11"/>
    <w:semiHidden/>
    <w:qFormat/>
    <w:locked/>
    <w:uiPriority w:val="99"/>
    <w:rPr>
      <w:rFonts w:ascii="Times New Roman" w:hAnsi="Times New Roman" w:eastAsia="仿宋_GB2312" w:cs="Times New Roman"/>
      <w:sz w:val="18"/>
    </w:rPr>
  </w:style>
  <w:style w:type="character" w:customStyle="1" w:styleId="27">
    <w:name w:val="Comment Subject Char"/>
    <w:basedOn w:val="20"/>
    <w:link w:val="13"/>
    <w:semiHidden/>
    <w:locked/>
    <w:uiPriority w:val="99"/>
    <w:rPr>
      <w:b/>
    </w:rPr>
  </w:style>
  <w:style w:type="character" w:customStyle="1" w:styleId="28">
    <w:name w:val="Body Text First Indent 2 Char"/>
    <w:basedOn w:val="22"/>
    <w:link w:val="14"/>
    <w:semiHidden/>
    <w:locked/>
    <w:uiPriority w:val="99"/>
  </w:style>
  <w:style w:type="paragraph" w:customStyle="1" w:styleId="29">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30">
    <w:name w:val="9"/>
    <w:basedOn w:val="1"/>
    <w:qFormat/>
    <w:uiPriority w:val="99"/>
    <w:pPr>
      <w:spacing w:line="460" w:lineRule="exact"/>
      <w:ind w:firstLine="480" w:firstLineChars="200"/>
    </w:pPr>
    <w:rPr>
      <w:rFonts w:ascii="宋体" w:hAnsi="宋体" w:eastAsia="宋体"/>
      <w:bCs/>
      <w:sz w:val="24"/>
      <w:szCs w:val="24"/>
    </w:rPr>
  </w:style>
  <w:style w:type="character" w:customStyle="1" w:styleId="31">
    <w:name w:val="Plain Text Char1"/>
    <w:link w:val="8"/>
    <w:qFormat/>
    <w:locked/>
    <w:uiPriority w:val="99"/>
    <w:rPr>
      <w:rFonts w:ascii="宋体" w:hAnsi="Courier New" w:eastAsia="仿宋_GB2312"/>
      <w:kern w:val="2"/>
      <w:sz w:val="28"/>
    </w:rPr>
  </w:style>
  <w:style w:type="paragraph" w:customStyle="1" w:styleId="32">
    <w:name w:val="正文格式"/>
    <w:link w:val="33"/>
    <w:uiPriority w:val="99"/>
    <w:pPr>
      <w:spacing w:line="360" w:lineRule="auto"/>
      <w:ind w:firstLine="200" w:firstLineChars="200"/>
    </w:pPr>
    <w:rPr>
      <w:rFonts w:ascii="宋体" w:hAnsi="Times New Roman" w:eastAsia="宋体" w:cs="Times New Roman"/>
      <w:color w:val="000000"/>
      <w:w w:val="110"/>
      <w:kern w:val="0"/>
      <w:sz w:val="22"/>
      <w:szCs w:val="20"/>
      <w:lang w:val="en-US" w:eastAsia="zh-CN" w:bidi="ar-SA"/>
    </w:rPr>
  </w:style>
  <w:style w:type="character" w:customStyle="1" w:styleId="33">
    <w:name w:val="正文格式 Char Char"/>
    <w:link w:val="32"/>
    <w:locked/>
    <w:uiPriority w:val="99"/>
    <w:rPr>
      <w:rFonts w:ascii="宋体"/>
      <w:color w:val="000000"/>
      <w:w w:val="110"/>
      <w:sz w:val="22"/>
    </w:rPr>
  </w:style>
  <w:style w:type="character" w:customStyle="1" w:styleId="34">
    <w:name w:val="Normal Indent Char"/>
    <w:link w:val="4"/>
    <w:locked/>
    <w:uiPriority w:val="99"/>
    <w:rPr>
      <w:kern w:val="2"/>
      <w:sz w:val="28"/>
    </w:rPr>
  </w:style>
  <w:style w:type="paragraph" w:customStyle="1" w:styleId="35">
    <w:name w:val="表格内"/>
    <w:basedOn w:val="1"/>
    <w:uiPriority w:val="99"/>
    <w:pPr>
      <w:adjustRightInd w:val="0"/>
      <w:spacing w:line="240" w:lineRule="atLeast"/>
      <w:jc w:val="center"/>
      <w:textAlignment w:val="baseline"/>
    </w:pPr>
    <w:rPr>
      <w:rFonts w:ascii="宋体"/>
      <w:kern w:val="0"/>
      <w:sz w:val="28"/>
      <w:szCs w:val="20"/>
    </w:rPr>
  </w:style>
  <w:style w:type="character" w:customStyle="1" w:styleId="36">
    <w:name w:val="15"/>
    <w:uiPriority w:val="99"/>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405</Words>
  <Characters>2311</Characters>
  <Lines>0</Lines>
  <Paragraphs>0</Paragraphs>
  <TotalTime>108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2021-09-18T04:19:00Z</dcterms:created>
  <dc:creator>Administrator</dc:creator>
  <cp:lastModifiedBy>love rain</cp:lastModifiedBy>
  <cp:lastPrinted>2021-10-12T09:10:57Z</cp:lastPrinted>
  <dcterms:modified xsi:type="dcterms:W3CDTF">2021-10-12T09:12:00Z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0CF99DD1564D4276B6AD0271FDA0451C</vt:lpwstr>
  </property>
</Properties>
</file>