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rPr>
      </w:pPr>
    </w:p>
    <w:p>
      <w:pPr>
        <w:spacing w:line="560" w:lineRule="exact"/>
      </w:pPr>
    </w:p>
    <w:p>
      <w:pPr>
        <w:pStyle w:val="15"/>
      </w:pPr>
    </w:p>
    <w:p>
      <w:pPr>
        <w:spacing w:line="560" w:lineRule="exact"/>
      </w:pPr>
    </w:p>
    <w:p>
      <w:pPr>
        <w:pStyle w:val="15"/>
      </w:pPr>
    </w:p>
    <w:p>
      <w:pPr>
        <w:pStyle w:val="15"/>
      </w:pPr>
    </w:p>
    <w:p>
      <w:pPr>
        <w:pStyle w:val="15"/>
      </w:pPr>
    </w:p>
    <w:p>
      <w:pPr>
        <w:pStyle w:val="15"/>
      </w:pPr>
    </w:p>
    <w:p>
      <w:pPr>
        <w:pStyle w:val="15"/>
      </w:pPr>
    </w:p>
    <w:p>
      <w:pPr>
        <w:spacing w:line="560" w:lineRule="exact"/>
      </w:pPr>
      <w: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〕88号</w:t>
                            </w:r>
                          </w:p>
                        </w:txbxContent>
                      </wps:txbx>
                      <wps:bodyPr upright="1"/>
                    </wps:wsp>
                  </a:graphicData>
                </a:graphic>
              </wp:anchor>
            </w:drawing>
          </mc:Choice>
          <mc:Fallback>
            <w:pict>
              <v:shape id="_x0000_s1026" o:spid="_x0000_s1026" o:spt="202" type="#_x0000_t202" style="position:absolute;left:0pt;margin-left:99pt;margin-top:17.8pt;height:39.5pt;width:232.2pt;z-index:251656192;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〕88号</w:t>
                      </w:r>
                    </w:p>
                  </w:txbxContent>
                </v:textbox>
              </v:shape>
            </w:pict>
          </mc:Fallback>
        </mc:AlternateContent>
      </w:r>
    </w:p>
    <w:p>
      <w:pPr>
        <w:spacing w:line="560" w:lineRule="exact"/>
      </w:pPr>
    </w:p>
    <w:p>
      <w:pPr>
        <w:pStyle w:val="15"/>
      </w:pPr>
    </w:p>
    <w:p>
      <w:pPr>
        <w:spacing w:line="640" w:lineRule="exact"/>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关于第一师二团城镇污水处理厂建设项目</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环境影响报告表的批复</w:t>
      </w:r>
    </w:p>
    <w:p>
      <w:pPr>
        <w:pStyle w:val="7"/>
        <w:widowControl w:val="0"/>
        <w:autoSpaceDE w:val="0"/>
        <w:autoSpaceDN w:val="0"/>
        <w:spacing w:beforeAutospacing="0" w:afterAutospacing="0"/>
        <w:rPr>
          <w:rFonts w:hAnsi="Times New Roman"/>
          <w:color w:val="000000"/>
        </w:rPr>
      </w:pPr>
      <w:r>
        <w:rPr>
          <w:rFonts w:hint="eastAsia" w:hAnsi="Times New Roman"/>
          <w:color w:val="000000"/>
          <w:lang w:bidi="ar"/>
        </w:rPr>
        <w:t xml:space="preserve"> </w:t>
      </w:r>
    </w:p>
    <w:p>
      <w:pPr>
        <w:spacing w:line="500" w:lineRule="exact"/>
        <w:rPr>
          <w:rFonts w:ascii="仿宋_GB2312"/>
        </w:rPr>
      </w:pPr>
      <w:r>
        <w:rPr>
          <w:rFonts w:hint="eastAsia" w:ascii="仿宋_GB2312" w:cs="仿宋_GB2312"/>
          <w:lang w:bidi="ar"/>
        </w:rPr>
        <w:t>阿拉尔市城市建设管理处：</w:t>
      </w:r>
    </w:p>
    <w:p>
      <w:pPr>
        <w:adjustRightInd w:val="0"/>
        <w:snapToGrid w:val="0"/>
        <w:spacing w:line="500" w:lineRule="exact"/>
        <w:ind w:firstLine="630"/>
        <w:rPr>
          <w:rFonts w:ascii="仿宋_GB2312"/>
        </w:rPr>
      </w:pPr>
      <w:r>
        <w:rPr>
          <w:rFonts w:hint="eastAsia" w:ascii="仿宋_GB2312"/>
        </w:rPr>
        <w:t>你单位报送的《关于送审第一师二团城镇污水处理厂建设项目环评审批的请示》及《第一师二团城镇污水处理厂建设项目环境影响报告表》（以下简称“报告表”）收悉。经专家审查和研究，现批复如下：</w:t>
      </w:r>
    </w:p>
    <w:p>
      <w:pPr>
        <w:adjustRightInd w:val="0"/>
        <w:snapToGrid w:val="0"/>
        <w:spacing w:line="500" w:lineRule="exact"/>
        <w:ind w:firstLine="630"/>
        <w:rPr>
          <w:rFonts w:ascii="仿宋_GB2312"/>
        </w:rPr>
      </w:pPr>
      <w:r>
        <w:rPr>
          <w:rFonts w:hint="eastAsia" w:ascii="仿宋_GB2312"/>
        </w:rPr>
        <w:t>一、该项目位于二团七连西北侧300米（新井子镇），西南侧为殡仪馆、北侧和东侧为农田，厂区中心地理位置坐标为东经79°50′53.602″，北纬40°35′56.510″。项目占地9837.9平方米，新建一座处理规模为2500 立方米/天的污水处理厂。建设内容主要包括综合办公间、预处理车间、生化处理车间、产水间、污泥脱水间、接触消毒池等配套设施。项目为污水处理及其再生利用建设项目，属于环境保护工程，总投资为3800万元，全部为环保投资。</w:t>
      </w:r>
    </w:p>
    <w:p>
      <w:pPr>
        <w:adjustRightInd w:val="0"/>
        <w:snapToGrid w:val="0"/>
        <w:spacing w:line="500" w:lineRule="exact"/>
        <w:ind w:firstLine="640" w:firstLineChars="200"/>
        <w:rPr>
          <w:rFonts w:ascii="仿宋_GB2312"/>
        </w:rPr>
      </w:pPr>
      <w:r>
        <w:rPr>
          <w:rFonts w:hint="eastAsia" w:ascii="仿宋_GB2312"/>
        </w:rPr>
        <w:t>二、该项目采用“预处理+A</w:t>
      </w:r>
      <w:r>
        <w:rPr>
          <w:rFonts w:hint="eastAsia" w:ascii="仿宋_GB2312"/>
          <w:vertAlign w:val="superscript"/>
        </w:rPr>
        <w:t>2</w:t>
      </w:r>
      <w:r>
        <w:rPr>
          <w:rFonts w:hint="eastAsia" w:ascii="仿宋_GB2312"/>
        </w:rPr>
        <w:t>/O工艺+BBR提质降耗反应器+纤维转盘过滤器+药剂消毒”污水处理工艺，我局原则同意报告表的结论。项目经投资主管部门依法审批后，你单位须严格按照报告表所列建设项目的性质、规模、地点、工艺和环境保护对策措施实施项目建设和运营。</w:t>
      </w:r>
    </w:p>
    <w:p>
      <w:pPr>
        <w:adjustRightInd w:val="0"/>
        <w:snapToGrid w:val="0"/>
        <w:spacing w:line="500" w:lineRule="exact"/>
        <w:ind w:firstLine="630"/>
        <w:rPr>
          <w:rFonts w:ascii="仿宋_GB2312"/>
        </w:rPr>
      </w:pPr>
      <w:r>
        <w:rPr>
          <w:rFonts w:hint="eastAsia" w:ascii="仿宋_GB2312"/>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snapToGrid w:val="0"/>
        <w:spacing w:line="500" w:lineRule="exact"/>
        <w:ind w:firstLine="640" w:firstLineChars="200"/>
        <w:rPr>
          <w:rFonts w:ascii="仿宋_GB2312"/>
        </w:rPr>
      </w:pPr>
      <w:r>
        <w:rPr>
          <w:rFonts w:hint="eastAsia" w:ascii="仿宋_GB2312"/>
        </w:rPr>
        <w:t>（一）认真落实施工期环境保护措施。施工场地设置硬质围墙或围挡，严禁敞开式作业；对施工场地的弃土及时填埋或清运，定期对道路洒水；加强对堆场和露天仓库的管理，采取喷淋、覆盖等措施；运输车辆需严密覆盖，严禁撒漏；施工废水经隔油沉淀处理后用于洒水降尘；施工噪声严格遵守《建筑施工场界环境噪声排放标准》(GB12523-2011)中规定要求；对施工废弃物及时清理分类，集中处理，回收利用；做好施工期结束后土地平整、植被恢复的工作</w:t>
      </w:r>
      <w:r>
        <w:rPr>
          <w:rFonts w:hint="eastAsia" w:ascii="仿宋_GB2312"/>
          <w:lang w:eastAsia="zh-CN"/>
        </w:rPr>
        <w:t>及</w:t>
      </w:r>
      <w:r>
        <w:rPr>
          <w:rFonts w:hint="eastAsia" w:ascii="仿宋_GB2312"/>
        </w:rPr>
        <w:t>防沙治沙等生态保护措施。</w:t>
      </w:r>
    </w:p>
    <w:p>
      <w:pPr>
        <w:spacing w:line="500" w:lineRule="exact"/>
        <w:ind w:firstLine="640" w:firstLineChars="200"/>
        <w:rPr>
          <w:rFonts w:ascii="仿宋_GB2312"/>
        </w:rPr>
      </w:pPr>
      <w:r>
        <w:rPr>
          <w:rFonts w:hint="eastAsia" w:ascii="仿宋_GB2312"/>
        </w:rPr>
        <w:t>（二）严格落实大气污染防治措施。项目运营期产生的废气主要为NH</w:t>
      </w:r>
      <w:r>
        <w:rPr>
          <w:rFonts w:hint="eastAsia" w:ascii="仿宋_GB2312"/>
          <w:vertAlign w:val="subscript"/>
        </w:rPr>
        <w:t>3</w:t>
      </w:r>
      <w:r>
        <w:rPr>
          <w:rFonts w:hint="eastAsia" w:ascii="仿宋_GB2312"/>
        </w:rPr>
        <w:t>、H</w:t>
      </w:r>
      <w:r>
        <w:rPr>
          <w:rFonts w:hint="eastAsia" w:ascii="仿宋_GB2312"/>
          <w:vertAlign w:val="subscript"/>
        </w:rPr>
        <w:t>2</w:t>
      </w:r>
      <w:r>
        <w:rPr>
          <w:rFonts w:hint="eastAsia" w:ascii="仿宋_GB2312"/>
        </w:rPr>
        <w:t>S等恶臭气体。通过对污水处理单元池采取加盖措施，产生的恶臭经集气系统收集后采用化学洗涤除臭系统（水喷淋系统+植物液喷淋系统）处理，处理后由一根15米高排气筒排放，废气中NH</w:t>
      </w:r>
      <w:r>
        <w:rPr>
          <w:rFonts w:hint="eastAsia" w:ascii="仿宋_GB2312"/>
          <w:vertAlign w:val="subscript"/>
        </w:rPr>
        <w:t>3</w:t>
      </w:r>
      <w:r>
        <w:rPr>
          <w:rFonts w:hint="eastAsia" w:ascii="仿宋_GB2312"/>
        </w:rPr>
        <w:t>、H</w:t>
      </w:r>
      <w:r>
        <w:rPr>
          <w:rFonts w:hint="eastAsia" w:ascii="仿宋_GB2312"/>
          <w:vertAlign w:val="subscript"/>
        </w:rPr>
        <w:t>2</w:t>
      </w:r>
      <w:r>
        <w:rPr>
          <w:rFonts w:hint="eastAsia" w:ascii="仿宋_GB2312"/>
        </w:rPr>
        <w:t>S排放满足《恶臭污染物排放标准》（GB14554-93）表2标准要求。加强污水处理厂的卫生管理，定期对排水管网、建筑物及其配套设备进行检修和维护，及时清运污泥，周围种植绿化隔离带，确保厂界无组织NH</w:t>
      </w:r>
      <w:r>
        <w:rPr>
          <w:rFonts w:hint="eastAsia" w:ascii="仿宋_GB2312"/>
          <w:vertAlign w:val="subscript"/>
        </w:rPr>
        <w:t>3</w:t>
      </w:r>
      <w:r>
        <w:rPr>
          <w:rFonts w:hint="eastAsia" w:ascii="仿宋_GB2312"/>
        </w:rPr>
        <w:t>、H</w:t>
      </w:r>
      <w:r>
        <w:rPr>
          <w:rFonts w:hint="eastAsia" w:ascii="仿宋_GB2312"/>
          <w:vertAlign w:val="subscript"/>
        </w:rPr>
        <w:t>2</w:t>
      </w:r>
      <w:r>
        <w:rPr>
          <w:rFonts w:hint="eastAsia" w:ascii="仿宋_GB2312"/>
        </w:rPr>
        <w:t xml:space="preserve">S、臭气浓度排放满足《城镇污水处理厂污染物排放标准》（GB18918-2002）及修改单表4二级标准要求。项目卫生环境防护距离为100米，在此范围内禁止新建医院、学校、居民点等环境敏感设施。 </w:t>
      </w:r>
    </w:p>
    <w:p>
      <w:pPr>
        <w:spacing w:line="500" w:lineRule="exact"/>
        <w:ind w:firstLine="640" w:firstLineChars="200"/>
        <w:rPr>
          <w:rFonts w:ascii="仿宋_GB2312"/>
        </w:rPr>
      </w:pPr>
      <w:r>
        <w:rPr>
          <w:rFonts w:hint="eastAsia" w:ascii="仿宋_GB2312" w:hAnsi="仿宋"/>
        </w:rPr>
        <w:t>（三）严格落实水污染防治措施。项目出水满足《城镇污水处理厂污染物排放标准》（GB18918-2002）中表1一级A标准及《城市污水再生利用 绿地灌溉水质》（GB/T25499-2010）中水质要求后进行冬储夏灌，夏季用于林带灌溉，冬季储存于暂存池内。严格落实分区防渗，做好污水处理装置及废水收集管道的防渗处理，严防“跑、冒、滴、漏”，将污染物泄漏环境风险影响降到最低。</w:t>
      </w:r>
    </w:p>
    <w:p>
      <w:pPr>
        <w:spacing w:line="500" w:lineRule="exact"/>
        <w:ind w:firstLine="640" w:firstLineChars="200"/>
        <w:rPr>
          <w:rFonts w:ascii="仿宋_GB2312" w:hAnsi="仿宋"/>
        </w:rPr>
      </w:pPr>
      <w:r>
        <w:rPr>
          <w:rFonts w:hint="eastAsia" w:ascii="仿宋_GB2312" w:hAnsi="仿宋"/>
        </w:rPr>
        <w:t>（四）严格落实噪声污染防治措施。项目运营期主要噪声源为风机、脱水机、提升泵设备等。通过对设备采取消声、减振及室内合理布置，加强设备维护等措施，确保厂界噪声满足《工业企业厂界环境噪声排放标准》（GB12348-2008）中2类标准限值（昼间≤60dB(A)，夜间≤50dB(A)）。</w:t>
      </w:r>
    </w:p>
    <w:p>
      <w:pPr>
        <w:pStyle w:val="7"/>
        <w:widowControl w:val="0"/>
        <w:autoSpaceDE w:val="0"/>
        <w:autoSpaceDN w:val="0"/>
        <w:spacing w:beforeAutospacing="0" w:afterAutospacing="0" w:line="500" w:lineRule="exact"/>
        <w:ind w:firstLine="640" w:firstLineChars="200"/>
        <w:rPr>
          <w:rFonts w:ascii="仿宋_GB2312" w:hAnsi="Times New Roman" w:eastAsia="仿宋_GB2312"/>
          <w:b/>
          <w:color w:val="000000"/>
          <w:sz w:val="32"/>
          <w:szCs w:val="32"/>
        </w:rPr>
      </w:pPr>
      <w:r>
        <w:rPr>
          <w:rFonts w:hint="eastAsia" w:ascii="仿宋_GB2312" w:hAnsi="仿宋" w:eastAsia="仿宋_GB2312"/>
          <w:kern w:val="2"/>
          <w:sz w:val="32"/>
          <w:szCs w:val="32"/>
        </w:rPr>
        <w:t>（五）严格落实固体废物分类处置措施。项目运营期产生的固体废物主要是栅渣、沉砂、生活垃圾及污泥。栅渣、沉砂及生活垃圾委托环卫部门定期清运；污泥采用高压板框压滤系统脱水至60%以下，定期外运至垃圾填埋场处置，严禁污泥在厂区长期堆放。</w:t>
      </w:r>
    </w:p>
    <w:p>
      <w:pPr>
        <w:adjustRightInd w:val="0"/>
        <w:snapToGrid w:val="0"/>
        <w:spacing w:line="500" w:lineRule="exact"/>
        <w:ind w:firstLine="640" w:firstLineChars="200"/>
        <w:rPr>
          <w:rFonts w:ascii="仿宋_GB2312"/>
        </w:rPr>
      </w:pPr>
      <w:r>
        <w:rPr>
          <w:rFonts w:hint="eastAsia" w:ascii="仿宋_GB2312" w:hAnsi="仿宋"/>
        </w:rPr>
        <w:t>（六）强化各项环境风险防范措施,有效防范环境风险。厂区设置足够容积的事故水池，事故废水须妥善处理，严禁外排。完善环境风险事故应急预案和事故防范措施，建立应急救援指挥系统，并定期进行应急培训和演练。做好日常巡检维修，及时发现、处理故障，保证污水处理站的正常运行，编制《突发环境事件应急预案》报环保主管部门备案，确保不发生环境污染事故。</w:t>
      </w:r>
    </w:p>
    <w:p>
      <w:pPr>
        <w:pStyle w:val="7"/>
        <w:widowControl w:val="0"/>
        <w:autoSpaceDE w:val="0"/>
        <w:autoSpaceDN w:val="0"/>
        <w:spacing w:beforeAutospacing="0" w:afterAutospacing="0" w:line="5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color w:val="000000"/>
          <w:sz w:val="32"/>
          <w:szCs w:val="32"/>
          <w:lang w:bidi="ar"/>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pPr>
        <w:adjustRightInd w:val="0"/>
        <w:snapToGrid w:val="0"/>
        <w:spacing w:line="500" w:lineRule="exact"/>
        <w:ind w:firstLine="630"/>
        <w:rPr>
          <w:rFonts w:ascii="仿宋_GB2312"/>
        </w:rPr>
      </w:pPr>
      <w:r>
        <w:rPr>
          <w:rFonts w:hint="eastAsia" w:ascii="仿宋_GB2312" w:cs="仿宋_GB2312"/>
          <w:lang w:bidi="ar"/>
        </w:rPr>
        <w:t>五、你单位须严格按照《排污许可证管理暂行规定》要求，在投入生产或使用并产生实际排污行为之前申请领取排污许可证或进行排污登记。</w:t>
      </w:r>
    </w:p>
    <w:p>
      <w:pPr>
        <w:adjustRightInd w:val="0"/>
        <w:snapToGrid w:val="0"/>
        <w:spacing w:line="500" w:lineRule="exact"/>
        <w:ind w:firstLine="630"/>
        <w:rPr>
          <w:rFonts w:ascii="仿宋_GB2312" w:cs="仿宋_GB2312"/>
        </w:rPr>
      </w:pPr>
      <w:r>
        <w:rPr>
          <w:rFonts w:hint="eastAsia" w:ascii="仿宋_GB2312" w:cs="仿宋_GB2312"/>
          <w:lang w:bidi="ar"/>
        </w:rPr>
        <w:t>六、根据《中华人民共和国环境影响评价法》等相关环保法律法规的规定，若项目性质、规模、地点、采用的防治污染、防止生态破坏的措施等发生重大变化的，应依法重新报批环评文件。自批准之日起</w:t>
      </w:r>
      <w:r>
        <w:rPr>
          <w:rFonts w:hint="eastAsia" w:ascii="仿宋_GB2312"/>
          <w:lang w:bidi="ar"/>
        </w:rPr>
        <w:t>5</w:t>
      </w:r>
      <w:r>
        <w:rPr>
          <w:rFonts w:hint="eastAsia" w:ascii="仿宋_GB2312" w:cs="仿宋_GB2312"/>
          <w:lang w:bidi="ar"/>
        </w:rPr>
        <w:t>年内未开工建设的，其环评文件应当报我局重新审核。在项目建设、运行过程中产生不符合经审批的环评文件情形的，应依法重新办理相关环保手续。</w:t>
      </w:r>
    </w:p>
    <w:p>
      <w:pPr>
        <w:adjustRightInd w:val="0"/>
        <w:snapToGrid w:val="0"/>
        <w:spacing w:line="500" w:lineRule="exact"/>
        <w:ind w:firstLine="630"/>
        <w:rPr>
          <w:rFonts w:ascii="仿宋_GB2312" w:cs="仿宋_GB2312"/>
          <w:lang w:bidi="ar"/>
        </w:rPr>
      </w:pPr>
      <w:r>
        <w:rPr>
          <w:rFonts w:hint="eastAsia" w:ascii="仿宋_GB2312" w:cs="仿宋_GB2312"/>
          <w:lang w:bidi="ar"/>
        </w:rPr>
        <w:t>七、二团按照《关于印发&lt;第一师阿拉尔市生态环境保护工作职责暂行规定（试行）&gt;的通知》（师市环委办发〔2020〕1号）要求，做好项目环境监管工作，师市生态环境保护综合行政执法支队做好项目的抽查日常监督管理工作。</w:t>
      </w:r>
    </w:p>
    <w:p>
      <w:pPr>
        <w:pStyle w:val="2"/>
        <w:rPr>
          <w:rFonts w:ascii="仿宋_GB2312" w:hAnsi="Times New Roman" w:eastAsia="仿宋_GB2312" w:cs="仿宋_GB2312"/>
          <w:lang w:bidi="ar"/>
        </w:rPr>
      </w:pPr>
    </w:p>
    <w:p>
      <w:pPr>
        <w:pStyle w:val="2"/>
      </w:pPr>
    </w:p>
    <w:p>
      <w:pPr>
        <w:pStyle w:val="15"/>
        <w:adjustRightInd w:val="0"/>
        <w:snapToGrid w:val="0"/>
        <w:spacing w:line="560" w:lineRule="exact"/>
        <w:ind w:firstLine="5120" w:firstLineChars="1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920" w:firstLineChars="1850"/>
        <w:rPr>
          <w:rFonts w:ascii="仿宋_GB2312" w:cs="仿宋_GB2312"/>
          <w:kern w:val="0"/>
        </w:rPr>
      </w:pPr>
      <w:r>
        <w:rPr>
          <w:rFonts w:ascii="仿宋_GB2312" w:hAnsi="仿宋_GB2312" w:cs="仿宋_GB2312"/>
          <w:kern w:val="0"/>
        </w:rPr>
        <w:t>2021</w:t>
      </w:r>
      <w:r>
        <w:rPr>
          <w:rFonts w:hint="eastAsia" w:ascii="仿宋_GB2312" w:hAnsi="仿宋_GB2312" w:cs="仿宋_GB2312"/>
          <w:kern w:val="0"/>
        </w:rPr>
        <w:t>年</w:t>
      </w:r>
      <w:r>
        <w:rPr>
          <w:rFonts w:hint="eastAsia" w:ascii="仿宋_GB2312" w:hAnsi="仿宋_GB2312" w:cs="仿宋_GB2312"/>
          <w:kern w:val="0"/>
          <w:lang w:val="en-US" w:eastAsia="zh-CN"/>
        </w:rPr>
        <w:t>10</w:t>
      </w:r>
      <w:r>
        <w:rPr>
          <w:rFonts w:hint="eastAsia" w:ascii="仿宋_GB2312" w:hAnsi="仿宋_GB2312" w:cs="仿宋_GB2312"/>
          <w:kern w:val="0"/>
        </w:rPr>
        <w:t>月</w:t>
      </w:r>
      <w:r>
        <w:rPr>
          <w:rFonts w:hint="eastAsia" w:ascii="仿宋_GB2312" w:hAnsi="仿宋_GB2312" w:cs="仿宋_GB2312"/>
          <w:kern w:val="0"/>
          <w:lang w:val="en-US" w:eastAsia="zh-CN"/>
        </w:rPr>
        <w:t>11</w:t>
      </w:r>
      <w:r>
        <w:rPr>
          <w:rFonts w:hint="eastAsia" w:ascii="仿宋_GB2312" w:hAnsi="仿宋_GB2312" w:cs="仿宋_GB2312"/>
          <w:kern w:val="0"/>
        </w:rPr>
        <w:t>日</w:t>
      </w:r>
    </w:p>
    <w:p>
      <w:pPr>
        <w:pStyle w:val="8"/>
        <w:ind w:left="0" w:leftChars="0" w:firstLine="0" w:firstLineChars="0"/>
      </w:pPr>
      <w:bookmarkStart w:id="0" w:name="_GoBack"/>
      <w:bookmarkEnd w:id="0"/>
    </w:p>
    <w:p>
      <w:pPr>
        <w:pStyle w:val="8"/>
        <w:ind w:left="0" w:leftChars="0" w:firstLine="0" w:firstLineChars="0"/>
      </w:pPr>
      <w:r>
        <mc:AlternateContent>
          <mc:Choice Requires="wps">
            <w:drawing>
              <wp:anchor distT="0" distB="0" distL="114300" distR="114300" simplePos="0" relativeHeight="251657216" behindDoc="0" locked="0" layoutInCell="1" allowOverlap="1">
                <wp:simplePos x="0" y="0"/>
                <wp:positionH relativeFrom="column">
                  <wp:posOffset>-53340</wp:posOffset>
                </wp:positionH>
                <wp:positionV relativeFrom="paragraph">
                  <wp:posOffset>334010</wp:posOffset>
                </wp:positionV>
                <wp:extent cx="5922010" cy="0"/>
                <wp:effectExtent l="0" t="9525" r="2540" b="9525"/>
                <wp:wrapNone/>
                <wp:docPr id="2" name="直线 3"/>
                <wp:cNvGraphicFramePr/>
                <a:graphic xmlns:a="http://schemas.openxmlformats.org/drawingml/2006/main">
                  <a:graphicData uri="http://schemas.microsoft.com/office/word/2010/wordprocessingShape">
                    <wps:wsp>
                      <wps:cNvCnPr/>
                      <wps:spPr>
                        <a:xfrm>
                          <a:off x="0" y="0"/>
                          <a:ext cx="592201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4.2pt;margin-top:26.3pt;height:0pt;width:466.3pt;z-index:251657216;mso-width-relative:page;mso-height-relative:page;" filled="f" stroked="t" coordsize="21600,21600" o:gfxdata="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x0BIbVAAAACAEAAA8AAAAA&#10;AAAAAQAgAAAAIgAAAGRycy9kb3ducmV2LnhtbFBLAQIUABQAAAAIAIdO4kDmNSid3gEAANADAAAO&#10;AAAAAAAAAAEAIAAAACQBAABkcnMvZTJvRG9jLnhtbFBLBQYAAAAABgAGAFkBAAB0BQAAAAA=&#10;">
                <v:fill on="f" focussize="0,0"/>
                <v:stroke weight="1.5pt" color="#000000" joinstyle="round"/>
                <v:imagedata o:title=""/>
                <o:lock v:ext="edit" aspectratio="f"/>
              </v:line>
            </w:pict>
          </mc:Fallback>
        </mc:AlternateContent>
      </w:r>
    </w:p>
    <w:p>
      <w:pPr>
        <w:topLinePunct/>
        <w:adjustRightInd w:val="0"/>
        <w:snapToGrid w:val="0"/>
        <w:spacing w:line="520" w:lineRule="exact"/>
        <w:rPr>
          <w:rFonts w:ascii="仿宋_GB2312" w:cs="仿宋_GB2312"/>
          <w:sz w:val="28"/>
          <w:szCs w:val="28"/>
        </w:rPr>
      </w:pPr>
      <w:r>
        <w:rPr>
          <w:rFonts w:hint="eastAsia" w:ascii="仿宋_GB2312" w:hAnsi="仿宋_GB2312" w:cs="仿宋_GB2312"/>
          <w:sz w:val="28"/>
          <w:szCs w:val="28"/>
        </w:rPr>
        <w:t>抄送：师市相关领导，发改委、自然资源和规划局、水利局、二团、生态环境保护综合行政执法支队、新疆泰施特环保科技有限公司。</w:t>
      </w:r>
    </w:p>
    <w:p>
      <w:pPr>
        <w:topLinePunct/>
        <w:adjustRightInd w:val="0"/>
        <w:snapToGrid w:val="0"/>
        <w:spacing w:line="520" w:lineRule="exact"/>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381000</wp:posOffset>
                </wp:positionV>
                <wp:extent cx="5922010" cy="0"/>
                <wp:effectExtent l="0" t="9525" r="2540" b="9525"/>
                <wp:wrapNone/>
                <wp:docPr id="4" name="直线 4"/>
                <wp:cNvGraphicFramePr/>
                <a:graphic xmlns:a="http://schemas.openxmlformats.org/drawingml/2006/main">
                  <a:graphicData uri="http://schemas.microsoft.com/office/word/2010/wordprocessingShape">
                    <wps:wsp>
                      <wps:cNvCnPr/>
                      <wps:spPr>
                        <a:xfrm>
                          <a:off x="0" y="0"/>
                          <a:ext cx="592201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4.2pt;margin-top:30pt;height:0pt;width:466.3pt;z-index:251659264;mso-width-relative:page;mso-height-relative:page;" filled="f" stroked="t" coordsize="21600,21600" o:gfxdata="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RUsfTVAAAACAEAAA8AAAAA&#10;AAAAAQAgAAAAIgAAAGRycy9kb3ducmV2LnhtbFBLAQIUABQAAAAIAIdO4kDPU7p13gEAANADAAAO&#10;AAAAAAAAAAEAIAAAACQBAABkcnMvZTJvRG9jLnhtbFBLBQYAAAAABgAGAFkBAAB0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33655</wp:posOffset>
                </wp:positionV>
                <wp:extent cx="5922010" cy="0"/>
                <wp:effectExtent l="0" t="0" r="0" b="0"/>
                <wp:wrapNone/>
                <wp:docPr id="3" name="直线 5"/>
                <wp:cNvGraphicFramePr/>
                <a:graphic xmlns:a="http://schemas.openxmlformats.org/drawingml/2006/main">
                  <a:graphicData uri="http://schemas.microsoft.com/office/word/2010/wordprocessingShape">
                    <wps:wsp>
                      <wps:cNvCnPr/>
                      <wps:spPr>
                        <a:xfrm>
                          <a:off x="0" y="0"/>
                          <a:ext cx="592201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3.8pt;margin-top:2.65pt;height:0pt;width:466.3pt;z-index:251658240;mso-width-relative:page;mso-height-relative:page;" filled="f" stroked="t" coordsize="21600,21600" o:gfxdata="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XCEWdQAAAAGAQAADwAAAAAA&#10;AAABACAAAAAiAAAAZHJzL2Rvd25yZXYueG1sUEsBAhQAFAAAAAgAh07iQJ8QjELeAQAAzwMAAA4A&#10;AAAAAAAAAQAgAAAAIwEAAGRycy9lMm9Eb2MueG1sUEsFBgAAAAAGAAYAWQEAAHMFAA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w:t>
      </w:r>
      <w:r>
        <w:rPr>
          <w:rFonts w:ascii="仿宋_GB2312" w:hAnsi="仿宋_GB2312" w:cs="仿宋_GB2312"/>
          <w:sz w:val="28"/>
          <w:szCs w:val="28"/>
        </w:rPr>
        <w:t xml:space="preserve">                     </w:t>
      </w:r>
      <w:r>
        <w:rPr>
          <w:sz w:val="28"/>
          <w:szCs w:val="28"/>
        </w:rPr>
        <w:t xml:space="preserve"> 2021</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11</w:t>
      </w:r>
      <w:r>
        <w:rPr>
          <w:rFonts w:hint="eastAsia"/>
          <w:sz w:val="28"/>
          <w:szCs w:val="28"/>
        </w:rPr>
        <w:t>日印发</w:t>
      </w:r>
    </w:p>
    <w:sectPr>
      <w:headerReference r:id="rId3" w:type="default"/>
      <w:footerReference r:id="rId4" w:type="default"/>
      <w:pgSz w:w="11906" w:h="16838"/>
      <w:pgMar w:top="1588" w:right="1247" w:bottom="1474"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sz w:val="28"/>
        <w:szCs w:val="28"/>
      </w:rPr>
    </w:pPr>
    <w:r>
      <w:rPr>
        <w:rFonts w:ascii="仿宋_GB2312"/>
        <w:sz w:val="28"/>
        <w:szCs w:val="28"/>
      </w:rPr>
      <w:t xml:space="preserve">— </w:t>
    </w:r>
    <w:r>
      <w:rPr>
        <w:rFonts w:ascii="仿宋_GB2312"/>
        <w:sz w:val="28"/>
        <w:szCs w:val="28"/>
      </w:rPr>
      <w:fldChar w:fldCharType="begin"/>
    </w:r>
    <w:r>
      <w:rPr>
        <w:rFonts w:ascii="仿宋_GB2312"/>
        <w:sz w:val="28"/>
        <w:szCs w:val="28"/>
      </w:rPr>
      <w:instrText xml:space="preserve"> PAGE   \* MERGEFORMAT </w:instrText>
    </w:r>
    <w:r>
      <w:rPr>
        <w:rFonts w:ascii="仿宋_GB2312"/>
        <w:sz w:val="28"/>
        <w:szCs w:val="28"/>
      </w:rPr>
      <w:fldChar w:fldCharType="separate"/>
    </w:r>
    <w:r>
      <w:rPr>
        <w:rFonts w:ascii="仿宋_GB2312"/>
        <w:sz w:val="28"/>
        <w:szCs w:val="28"/>
        <w:lang w:val="zh-CN"/>
      </w:rPr>
      <w:t>4</w:t>
    </w:r>
    <w:r>
      <w:rPr>
        <w:rFonts w:ascii="仿宋_GB2312"/>
        <w:sz w:val="28"/>
        <w:szCs w:val="28"/>
      </w:rPr>
      <w:fldChar w:fldCharType="end"/>
    </w:r>
    <w:r>
      <w:rPr>
        <w:rFonts w:ascii="仿宋_GB2312"/>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AD"/>
    <w:rsid w:val="000027B9"/>
    <w:rsid w:val="00015674"/>
    <w:rsid w:val="00033C5E"/>
    <w:rsid w:val="00072650"/>
    <w:rsid w:val="00083861"/>
    <w:rsid w:val="00084F43"/>
    <w:rsid w:val="001653E9"/>
    <w:rsid w:val="00167282"/>
    <w:rsid w:val="001727F3"/>
    <w:rsid w:val="0018284E"/>
    <w:rsid w:val="00227558"/>
    <w:rsid w:val="00280EBE"/>
    <w:rsid w:val="002A2493"/>
    <w:rsid w:val="002B79D7"/>
    <w:rsid w:val="002D40BA"/>
    <w:rsid w:val="002F1106"/>
    <w:rsid w:val="002F3DB4"/>
    <w:rsid w:val="00331164"/>
    <w:rsid w:val="00377227"/>
    <w:rsid w:val="0039669C"/>
    <w:rsid w:val="003A07EA"/>
    <w:rsid w:val="003F3C63"/>
    <w:rsid w:val="00407F43"/>
    <w:rsid w:val="004373F6"/>
    <w:rsid w:val="00440062"/>
    <w:rsid w:val="00454D12"/>
    <w:rsid w:val="00463C7F"/>
    <w:rsid w:val="004A1C07"/>
    <w:rsid w:val="004C117E"/>
    <w:rsid w:val="004C2F37"/>
    <w:rsid w:val="004D53E7"/>
    <w:rsid w:val="005074BA"/>
    <w:rsid w:val="00536358"/>
    <w:rsid w:val="00550003"/>
    <w:rsid w:val="005A2721"/>
    <w:rsid w:val="005A42AE"/>
    <w:rsid w:val="005D1425"/>
    <w:rsid w:val="005E7903"/>
    <w:rsid w:val="005F7BD4"/>
    <w:rsid w:val="006171AD"/>
    <w:rsid w:val="006E6010"/>
    <w:rsid w:val="0070300A"/>
    <w:rsid w:val="00722E43"/>
    <w:rsid w:val="0072342D"/>
    <w:rsid w:val="0073221A"/>
    <w:rsid w:val="00782394"/>
    <w:rsid w:val="00782B75"/>
    <w:rsid w:val="0078436E"/>
    <w:rsid w:val="0079511E"/>
    <w:rsid w:val="00797665"/>
    <w:rsid w:val="007C29F1"/>
    <w:rsid w:val="007F0FE8"/>
    <w:rsid w:val="00806569"/>
    <w:rsid w:val="0086525B"/>
    <w:rsid w:val="008732F0"/>
    <w:rsid w:val="00882348"/>
    <w:rsid w:val="0089091C"/>
    <w:rsid w:val="008913C5"/>
    <w:rsid w:val="008C4723"/>
    <w:rsid w:val="008D2C8F"/>
    <w:rsid w:val="008E53F9"/>
    <w:rsid w:val="00924642"/>
    <w:rsid w:val="00926F84"/>
    <w:rsid w:val="00933973"/>
    <w:rsid w:val="00952FCF"/>
    <w:rsid w:val="009675F8"/>
    <w:rsid w:val="009F3EDB"/>
    <w:rsid w:val="00A0059D"/>
    <w:rsid w:val="00A95512"/>
    <w:rsid w:val="00AA7EAE"/>
    <w:rsid w:val="00AD692D"/>
    <w:rsid w:val="00B2502D"/>
    <w:rsid w:val="00B35930"/>
    <w:rsid w:val="00B359FB"/>
    <w:rsid w:val="00B45EA1"/>
    <w:rsid w:val="00BA3AE7"/>
    <w:rsid w:val="00BF79FD"/>
    <w:rsid w:val="00C572B7"/>
    <w:rsid w:val="00C62296"/>
    <w:rsid w:val="00C84E92"/>
    <w:rsid w:val="00CB1A0E"/>
    <w:rsid w:val="00D25D7C"/>
    <w:rsid w:val="00D52779"/>
    <w:rsid w:val="00D52FC6"/>
    <w:rsid w:val="00D62F95"/>
    <w:rsid w:val="00D676A1"/>
    <w:rsid w:val="00D90692"/>
    <w:rsid w:val="00D9216F"/>
    <w:rsid w:val="00DC4C8F"/>
    <w:rsid w:val="00DF7411"/>
    <w:rsid w:val="00E5404B"/>
    <w:rsid w:val="00E61814"/>
    <w:rsid w:val="00E954A4"/>
    <w:rsid w:val="00EC1FDF"/>
    <w:rsid w:val="00ED041E"/>
    <w:rsid w:val="00F15E55"/>
    <w:rsid w:val="00F30BDD"/>
    <w:rsid w:val="00F42FD2"/>
    <w:rsid w:val="00F55CAF"/>
    <w:rsid w:val="00F86021"/>
    <w:rsid w:val="00FD13A5"/>
    <w:rsid w:val="00FD2451"/>
    <w:rsid w:val="00FD45EE"/>
    <w:rsid w:val="00FE1D86"/>
    <w:rsid w:val="00FE1DA4"/>
    <w:rsid w:val="01C312D4"/>
    <w:rsid w:val="03D92A7D"/>
    <w:rsid w:val="046B256F"/>
    <w:rsid w:val="0B0103F3"/>
    <w:rsid w:val="1090761C"/>
    <w:rsid w:val="14FD4654"/>
    <w:rsid w:val="188F653D"/>
    <w:rsid w:val="1B6A77D3"/>
    <w:rsid w:val="1D882A4C"/>
    <w:rsid w:val="1EA95EA2"/>
    <w:rsid w:val="20770274"/>
    <w:rsid w:val="22655E19"/>
    <w:rsid w:val="294036EE"/>
    <w:rsid w:val="2B147448"/>
    <w:rsid w:val="2B1D7F22"/>
    <w:rsid w:val="2D8F43F1"/>
    <w:rsid w:val="2EA621D4"/>
    <w:rsid w:val="30A755BC"/>
    <w:rsid w:val="35721DB4"/>
    <w:rsid w:val="3792144F"/>
    <w:rsid w:val="37DE0C48"/>
    <w:rsid w:val="394D4185"/>
    <w:rsid w:val="4114577E"/>
    <w:rsid w:val="416663FC"/>
    <w:rsid w:val="421E049A"/>
    <w:rsid w:val="47E93A93"/>
    <w:rsid w:val="48284DB1"/>
    <w:rsid w:val="4D716BF8"/>
    <w:rsid w:val="4E6D2C66"/>
    <w:rsid w:val="507C7CF1"/>
    <w:rsid w:val="5750735F"/>
    <w:rsid w:val="5A991C16"/>
    <w:rsid w:val="5C8F51C9"/>
    <w:rsid w:val="6228092F"/>
    <w:rsid w:val="64B55BDF"/>
    <w:rsid w:val="662F1941"/>
    <w:rsid w:val="6B106B18"/>
    <w:rsid w:val="750268B5"/>
    <w:rsid w:val="764071B8"/>
    <w:rsid w:val="77137C65"/>
    <w:rsid w:val="78032FFD"/>
    <w:rsid w:val="7869670D"/>
    <w:rsid w:val="79111E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1"/>
    <w:qFormat/>
    <w:uiPriority w:val="99"/>
    <w:pPr>
      <w:keepNext/>
      <w:keepLines/>
      <w:spacing w:line="416" w:lineRule="auto"/>
      <w:outlineLvl w:val="1"/>
    </w:pPr>
    <w:rPr>
      <w:rFonts w:ascii="Arial" w:hAnsi="Arial" w:eastAsia="黑体"/>
      <w:b/>
      <w:bC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6"/>
    <w:qFormat/>
    <w:uiPriority w:val="99"/>
    <w:pPr>
      <w:spacing w:after="120"/>
      <w:ind w:left="420" w:leftChars="200"/>
    </w:pPr>
  </w:style>
  <w:style w:type="paragraph" w:styleId="4">
    <w:name w:val="Balloon Text"/>
    <w:basedOn w:val="1"/>
    <w:link w:val="12"/>
    <w:semiHidden/>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Autospacing="1" w:afterAutospacing="1"/>
      <w:jc w:val="left"/>
    </w:pPr>
    <w:rPr>
      <w:rFonts w:ascii="宋体" w:hAnsi="宋体" w:eastAsia="宋体"/>
      <w:kern w:val="0"/>
      <w:sz w:val="24"/>
      <w:szCs w:val="24"/>
    </w:rPr>
  </w:style>
  <w:style w:type="paragraph" w:styleId="8">
    <w:name w:val="Body Text First Indent 2"/>
    <w:basedOn w:val="3"/>
    <w:link w:val="17"/>
    <w:qFormat/>
    <w:uiPriority w:val="99"/>
    <w:pPr>
      <w:ind w:firstLine="420" w:firstLineChars="200"/>
    </w:pPr>
  </w:style>
  <w:style w:type="character" w:customStyle="1" w:styleId="11">
    <w:name w:val="标题 2 Char"/>
    <w:basedOn w:val="10"/>
    <w:link w:val="2"/>
    <w:semiHidden/>
    <w:qFormat/>
    <w:locked/>
    <w:uiPriority w:val="99"/>
    <w:rPr>
      <w:rFonts w:ascii="Cambria" w:hAnsi="Cambria" w:eastAsia="宋体" w:cs="Times New Roman"/>
      <w:b/>
      <w:bCs/>
      <w:sz w:val="32"/>
      <w:szCs w:val="32"/>
    </w:rPr>
  </w:style>
  <w:style w:type="character" w:customStyle="1" w:styleId="12">
    <w:name w:val="批注框文本 Char"/>
    <w:basedOn w:val="10"/>
    <w:link w:val="4"/>
    <w:semiHidden/>
    <w:qFormat/>
    <w:locked/>
    <w:uiPriority w:val="99"/>
    <w:rPr>
      <w:rFonts w:eastAsia="仿宋_GB2312" w:cs="Times New Roman"/>
      <w:kern w:val="2"/>
      <w:sz w:val="18"/>
      <w:szCs w:val="18"/>
    </w:rPr>
  </w:style>
  <w:style w:type="character" w:customStyle="1" w:styleId="13">
    <w:name w:val="页脚 Char"/>
    <w:basedOn w:val="10"/>
    <w:link w:val="5"/>
    <w:qFormat/>
    <w:locked/>
    <w:uiPriority w:val="99"/>
    <w:rPr>
      <w:rFonts w:ascii="Times New Roman" w:hAnsi="Times New Roman" w:eastAsia="仿宋_GB2312" w:cs="Times New Roman"/>
      <w:sz w:val="18"/>
      <w:szCs w:val="18"/>
    </w:rPr>
  </w:style>
  <w:style w:type="character" w:customStyle="1" w:styleId="14">
    <w:name w:val="页眉 Char"/>
    <w:basedOn w:val="10"/>
    <w:link w:val="6"/>
    <w:locked/>
    <w:uiPriority w:val="99"/>
    <w:rPr>
      <w:rFonts w:ascii="Times New Roman" w:hAnsi="Times New Roman" w:eastAsia="仿宋_GB2312" w:cs="Times New Roman"/>
      <w:sz w:val="18"/>
      <w:szCs w:val="18"/>
    </w:rPr>
  </w:style>
  <w:style w:type="paragraph" w:customStyle="1" w:styleId="15">
    <w:name w:val="Default"/>
    <w:basedOn w:val="1"/>
    <w:qFormat/>
    <w:uiPriority w:val="99"/>
    <w:pPr>
      <w:autoSpaceDE w:val="0"/>
      <w:autoSpaceDN w:val="0"/>
      <w:jc w:val="left"/>
    </w:pPr>
    <w:rPr>
      <w:rFonts w:ascii="宋体" w:eastAsia="宋体"/>
      <w:color w:val="000000"/>
      <w:kern w:val="0"/>
      <w:sz w:val="24"/>
      <w:szCs w:val="24"/>
    </w:rPr>
  </w:style>
  <w:style w:type="character" w:customStyle="1" w:styleId="16">
    <w:name w:val="正文文本缩进 Char"/>
    <w:basedOn w:val="10"/>
    <w:link w:val="3"/>
    <w:semiHidden/>
    <w:qFormat/>
    <w:locked/>
    <w:uiPriority w:val="99"/>
    <w:rPr>
      <w:rFonts w:eastAsia="仿宋_GB2312" w:cs="Times New Roman"/>
      <w:sz w:val="32"/>
      <w:szCs w:val="32"/>
    </w:rPr>
  </w:style>
  <w:style w:type="character" w:customStyle="1" w:styleId="17">
    <w:name w:val="正文首行缩进 2 Char"/>
    <w:basedOn w:val="10"/>
    <w:link w:val="8"/>
    <w:semiHidden/>
    <w:qFormat/>
    <w:locked/>
    <w:uiPriority w:val="99"/>
    <w:rPr>
      <w:rFonts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2200</Words>
  <Characters>231</Characters>
  <Lines>1</Lines>
  <Paragraphs>4</Paragraphs>
  <TotalTime>3</TotalTime>
  <ScaleCrop>false</ScaleCrop>
  <LinksUpToDate>false</LinksUpToDate>
  <CharactersWithSpaces>2427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2021-08-09T08:14:00Z</dcterms:created>
  <dc:creator>NTKO</dc:creator>
  <cp:lastModifiedBy>love rain</cp:lastModifiedBy>
  <cp:lastPrinted>2021-10-11T10:55:46Z</cp:lastPrinted>
  <dcterms:modified xsi:type="dcterms:W3CDTF">2021-10-11T10:57:12Z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081C481F93754F91807F90DF8635A5D1</vt:lpwstr>
  </property>
</Properties>
</file>