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color w:val="0000FF"/>
          <w:sz w:val="36"/>
        </w:rPr>
      </w:pPr>
    </w:p>
    <w:p>
      <w:pPr>
        <w:pStyle w:val="2"/>
        <w:rPr>
          <w:color w:val="0000FF"/>
          <w:sz w:val="28"/>
        </w:rPr>
      </w:pPr>
    </w:p>
    <w:p>
      <w:pPr>
        <w:pStyle w:val="2"/>
        <w:spacing w:line="264" w:lineRule="auto"/>
        <w:rPr>
          <w:color w:val="0000FF"/>
          <w:sz w:val="28"/>
        </w:rPr>
      </w:pPr>
    </w:p>
    <w:p>
      <w:pPr>
        <w:pStyle w:val="2"/>
        <w:spacing w:line="264" w:lineRule="auto"/>
        <w:rPr>
          <w:color w:val="0000FF"/>
          <w:sz w:val="48"/>
          <w:szCs w:val="44"/>
        </w:rPr>
      </w:pPr>
    </w:p>
    <w:p>
      <w:pPr>
        <w:spacing w:line="560" w:lineRule="exact"/>
        <w:rPr>
          <w:color w:val="0000FF"/>
          <w:sz w:val="52"/>
        </w:rPr>
      </w:pPr>
      <w:r>
        <w:rPr>
          <w:color w:val="0000F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212725</wp:posOffset>
                </wp:positionV>
                <wp:extent cx="2948940" cy="501650"/>
                <wp:effectExtent l="4445" t="4445" r="18415" b="8255"/>
                <wp:wrapNone/>
                <wp:docPr id="1" name="文本框 3"/>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87</w:t>
                            </w:r>
                            <w:r>
                              <w:rPr>
                                <w:rFonts w:hint="eastAsia"/>
                              </w:rPr>
                              <w:t>号</w:t>
                            </w:r>
                          </w:p>
                        </w:txbxContent>
                      </wps:txbx>
                      <wps:bodyPr upright="1"/>
                    </wps:wsp>
                  </a:graphicData>
                </a:graphic>
              </wp:anchor>
            </w:drawing>
          </mc:Choice>
          <mc:Fallback>
            <w:pict>
              <v:shape id="文本框 3" o:spid="_x0000_s1026" o:spt="202" type="#_x0000_t202" style="position:absolute;left:0pt;margin-left:99pt;margin-top:16.75pt;height:39.5pt;width:232.2pt;z-index:251659264;mso-width-relative:page;mso-height-relative:page;" fillcolor="#FFFFFF" filled="t"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87</w:t>
                      </w:r>
                      <w:r>
                        <w:rPr>
                          <w:rFonts w:hint="eastAsia"/>
                        </w:rPr>
                        <w:t>号</w:t>
                      </w:r>
                    </w:p>
                  </w:txbxContent>
                </v:textbox>
              </v:shape>
            </w:pict>
          </mc:Fallback>
        </mc:AlternateContent>
      </w:r>
    </w:p>
    <w:p>
      <w:pPr>
        <w:adjustRightInd w:val="0"/>
        <w:snapToGrid w:val="0"/>
        <w:spacing w:line="640" w:lineRule="exact"/>
        <w:jc w:val="center"/>
        <w:rPr>
          <w:rFonts w:eastAsia="方正小标宋简体"/>
          <w:color w:val="0000FF"/>
          <w:w w:val="95"/>
          <w:sz w:val="44"/>
          <w:szCs w:val="44"/>
        </w:rPr>
      </w:pPr>
    </w:p>
    <w:p>
      <w:pPr>
        <w:pStyle w:val="2"/>
        <w:rPr>
          <w:color w:val="auto"/>
        </w:rPr>
      </w:pP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关于阿拉尔市方海顺油脂有限公司改扩建项目</w:t>
      </w: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环境影响报告表的批复</w:t>
      </w:r>
    </w:p>
    <w:p>
      <w:pPr>
        <w:adjustRightInd w:val="0"/>
        <w:snapToGrid w:val="0"/>
        <w:spacing w:line="560" w:lineRule="exact"/>
      </w:pPr>
    </w:p>
    <w:p>
      <w:pPr>
        <w:keepNext w:val="0"/>
        <w:keepLines w:val="0"/>
        <w:pageBreakBefore w:val="0"/>
        <w:widowControl w:val="0"/>
        <w:kinsoku/>
        <w:wordWrap/>
        <w:overflowPunct/>
        <w:topLinePunct w:val="0"/>
        <w:autoSpaceDE/>
        <w:autoSpaceDN/>
        <w:bidi w:val="0"/>
        <w:adjustRightInd w:val="0"/>
        <w:spacing w:line="540" w:lineRule="exact"/>
        <w:rPr>
          <w:rFonts w:ascii="仿宋_GB2312" w:hAnsi="仿宋" w:cs="仿宋"/>
        </w:rPr>
      </w:pPr>
      <w:r>
        <w:rPr>
          <w:rFonts w:hint="eastAsia" w:ascii="仿宋_GB2312" w:hAnsi="仿宋"/>
          <w:spacing w:val="-10"/>
        </w:rPr>
        <w:t>阿拉尔市方海顺油脂有限公司</w:t>
      </w:r>
      <w:r>
        <w:rPr>
          <w:rFonts w:hint="eastAsia" w:ascii="仿宋_GB2312" w:hAnsi="仿宋" w:cs="仿宋"/>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0"/>
        <w:rPr>
          <w:rFonts w:ascii="仿宋_GB2312"/>
        </w:rPr>
      </w:pPr>
      <w:r>
        <w:rPr>
          <w:rFonts w:hint="eastAsia" w:ascii="仿宋_GB2312"/>
        </w:rPr>
        <w:t>你单位报送的《关于送审阿拉尔市方海顺油脂有限公司改扩建项目环境影响报告表的请示》及《</w:t>
      </w:r>
      <w:r>
        <w:rPr>
          <w:rFonts w:hint="eastAsia" w:ascii="仿宋_GB2312" w:hAnsi="仿宋"/>
          <w:spacing w:val="-10"/>
        </w:rPr>
        <w:t>阿拉尔市方海顺油脂有限公司改扩建项目</w:t>
      </w:r>
      <w:r>
        <w:rPr>
          <w:rFonts w:hint="eastAsia" w:ascii="仿宋_GB2312" w:hAnsi="仿宋" w:cs="仿宋"/>
        </w:rPr>
        <w:t>环境影响报告表</w:t>
      </w:r>
      <w:r>
        <w:rPr>
          <w:rFonts w:hint="eastAsia" w:ascii="仿宋_GB2312"/>
        </w:rPr>
        <w:t>》（以下简称“报告表”）收悉。经专家审查和研究，现批复如下：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ascii="仿宋_GB2312"/>
        </w:rPr>
      </w:pPr>
      <w:r>
        <w:rPr>
          <w:rFonts w:hint="eastAsia" w:ascii="仿宋_GB2312"/>
        </w:rPr>
        <w:t>一、该项目位于八团（塔门镇）兴农路，项目东侧紧邻兴农路，南侧为乡村公路，西侧为饲料加工企业，北侧为八团畜禽养殖农业合作社。厂区中心地理位置坐标为：东经80°49'41.962"，北纬40°35'56.491"。项目总占地面积21956.48平方米，主要建设内容为：新建毛油精加工生产线2条，同时配套建设辅助工程、公用工程和环保工程。项目建成后，年加工毛油2万吨，年产二级精油1.67万吨。项目总投资510万元，其中环保投资83万元，占总投资的16.27%。</w:t>
      </w:r>
    </w:p>
    <w:p>
      <w:pPr>
        <w:keepNext w:val="0"/>
        <w:keepLines w:val="0"/>
        <w:pageBreakBefore w:val="0"/>
        <w:widowControl w:val="0"/>
        <w:kinsoku/>
        <w:wordWrap/>
        <w:overflowPunct/>
        <w:topLinePunct w:val="0"/>
        <w:autoSpaceDE/>
        <w:autoSpaceDN/>
        <w:bidi w:val="0"/>
        <w:snapToGrid w:val="0"/>
        <w:spacing w:line="540" w:lineRule="exact"/>
        <w:ind w:firstLine="610" w:firstLineChars="200"/>
        <w:rPr>
          <w:rFonts w:ascii="仿宋_GB2312"/>
        </w:rPr>
      </w:pPr>
      <w:r>
        <w:rPr>
          <w:rFonts w:hint="eastAsia" w:ascii="仿宋_GB2312"/>
        </w:rPr>
        <w:t>二、该项目属于植物油加工项目，</w:t>
      </w:r>
      <w:r>
        <w:rPr>
          <w:rFonts w:hint="eastAsia" w:ascii="仿宋_GB2312" w:hAnsi="仿宋_GB2312" w:cs="仿宋_GB2312"/>
          <w:lang w:bidi="ar"/>
        </w:rPr>
        <w:t>项目生产工艺流程为</w:t>
      </w:r>
      <w:r>
        <w:rPr>
          <w:rFonts w:hint="eastAsia" w:ascii="仿宋_GB2312"/>
        </w:rPr>
        <w:t>：毛油→过滤机过滤→水化脱胶→碱炼脱酸→脱色→脱臭→成品油。</w:t>
      </w:r>
      <w:r>
        <w:rPr>
          <w:rFonts w:hint="eastAsia" w:ascii="仿宋_GB2312" w:hAnsi="仿宋_GB2312" w:cs="仿宋_GB2312"/>
          <w:lang w:bidi="ar"/>
        </w:rPr>
        <w:t>我局原则同意报告表的结论。</w:t>
      </w:r>
      <w:r>
        <w:rPr>
          <w:rFonts w:hint="eastAsia" w:ascii="仿宋_GB2312"/>
        </w:rPr>
        <w:t>项目经投资主管部门依法审批后，你单位须严格按照报告表所列建设项目的性质、规模、地点、工艺和环境保护对策措施实施项目建设和运营。</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hint="eastAsia" w:ascii="仿宋_GB2312"/>
          <w:lang w:val="en-US" w:eastAsia="zh-CN"/>
        </w:rPr>
      </w:pPr>
      <w:r>
        <w:rPr>
          <w:rFonts w:hint="eastAsia" w:ascii="仿宋_GB2312"/>
        </w:rPr>
        <w:t>三、该项目属“未批先建，未验先投”申请补办环评。</w:t>
      </w:r>
      <w:r>
        <w:rPr>
          <w:rFonts w:hint="eastAsia" w:ascii="仿宋_GB2312"/>
          <w:lang w:val="en-US" w:eastAsia="zh-CN"/>
        </w:rPr>
        <w:t>该项目于2021年建设完成并投产。生态环境保护综合行政执法支队依法检查并下达《新疆生产建设兵团第一师生态环境局责令改正违法行为决定书》（一师环责改字〔2021〕1号）责令该企业进行整改，八团必须高度重视，举一反三，加强辖区内项目日常监管。</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ascii="仿宋_GB2312"/>
        </w:rPr>
      </w:pPr>
      <w:r>
        <w:rPr>
          <w:rFonts w:hint="eastAsia" w:ascii="仿宋_GB2312"/>
          <w:lang w:val="en-US" w:eastAsia="zh-CN"/>
        </w:rPr>
        <w:t>四、</w:t>
      </w:r>
      <w:r>
        <w:rPr>
          <w:rFonts w:hint="eastAsia" w:ascii="仿宋_GB2312"/>
        </w:rPr>
        <w:t>你单位在项目建设和运营中，应严格执行有关环境质量标准和污染物排放标准，认真、全面落实报告表提出的各项环保措施要求，确保污染物达标排放和各环境敏感点满足相应功能要求。重点做好以下工作：</w:t>
      </w:r>
    </w:p>
    <w:p>
      <w:pPr>
        <w:keepNext w:val="0"/>
        <w:keepLines w:val="0"/>
        <w:pageBreakBefore w:val="0"/>
        <w:widowControl w:val="0"/>
        <w:kinsoku/>
        <w:wordWrap/>
        <w:overflowPunct/>
        <w:topLinePunct w:val="0"/>
        <w:autoSpaceDE/>
        <w:autoSpaceDN/>
        <w:bidi w:val="0"/>
        <w:snapToGrid w:val="0"/>
        <w:spacing w:line="540" w:lineRule="exact"/>
        <w:ind w:firstLine="610" w:firstLineChars="200"/>
        <w:rPr>
          <w:rFonts w:ascii="仿宋_GB2312"/>
          <w:highlight w:val="yellow"/>
        </w:rPr>
      </w:pPr>
      <w:r>
        <w:rPr>
          <w:rFonts w:hint="eastAsia" w:ascii="仿宋_GB2312"/>
        </w:rPr>
        <w:t>（一）认真落实施工期环境保护措施。做好施工过程中的降噪、防尘措施、施工固废清理和水土保持、防沙治沙等生态保护措施，妥善处置施工废弃物、生活垃圾及生活污水。</w:t>
      </w:r>
    </w:p>
    <w:p>
      <w:pPr>
        <w:keepNext w:val="0"/>
        <w:keepLines w:val="0"/>
        <w:pageBreakBefore w:val="0"/>
        <w:widowControl w:val="0"/>
        <w:kinsoku/>
        <w:wordWrap/>
        <w:overflowPunct/>
        <w:topLinePunct w:val="0"/>
        <w:autoSpaceDE/>
        <w:autoSpaceDN/>
        <w:bidi w:val="0"/>
        <w:adjustRightInd w:val="0"/>
        <w:spacing w:line="540" w:lineRule="exact"/>
        <w:ind w:firstLine="610" w:firstLineChars="200"/>
        <w:rPr>
          <w:rFonts w:ascii="仿宋_GB2312"/>
        </w:rPr>
      </w:pPr>
      <w:r>
        <w:rPr>
          <w:rFonts w:hint="eastAsia" w:ascii="仿宋_GB2312"/>
        </w:rPr>
        <w:t>（二）严格落实大气污染防治措施。项目运营期产生的废气主要为毛油精炼废气、生物质锅炉烟气和污水处理站恶臭。其中，毛油精炼废气采用集气罩收集，经“活性炭吸附+等离子光氧催化”进行处理后，通过一座15米高排气筒排放，废气中臭气排放浓度须满足《恶臭污染物排放标准》（GB14554-93）中表2恶臭污染物排放标准值；非甲烷总烃排放浓度须满足《大气污染物综合排放标准》（GB16297-1996）表2新污染源大气污染物排放限值。生物质锅炉燃烧烟气采用“高效布袋除尘+石灰-石膏湿法脱硫”处理后，通过一座35米高排气筒排放，烟气中颗粒物、二氧化硫、氮氧化物、烟气黑度排放须满足《锅炉大气污染物排放标准》（GB13271-2014）中表2燃气锅炉大气污染物排放浓度限值。污水处理站产生的恶臭气体通过生物滤池净化后，通过一座15米高排气筒排放，恶臭污染物硫化氢、氨排放浓度须满足《恶臭污染物排放标准》（GB14554-93）表2恶臭污染物排放标准值。</w:t>
      </w:r>
    </w:p>
    <w:p>
      <w:pPr>
        <w:keepNext w:val="0"/>
        <w:keepLines w:val="0"/>
        <w:pageBreakBefore w:val="0"/>
        <w:widowControl w:val="0"/>
        <w:kinsoku/>
        <w:wordWrap/>
        <w:overflowPunct/>
        <w:topLinePunct w:val="0"/>
        <w:autoSpaceDE/>
        <w:autoSpaceDN/>
        <w:bidi w:val="0"/>
        <w:adjustRightInd w:val="0"/>
        <w:spacing w:line="540" w:lineRule="exact"/>
        <w:ind w:firstLine="610" w:firstLineChars="200"/>
        <w:rPr>
          <w:rFonts w:ascii="仿宋_GB2312" w:hAnsi="仿宋"/>
        </w:rPr>
      </w:pPr>
      <w:r>
        <w:rPr>
          <w:rFonts w:hint="eastAsia" w:ascii="仿宋_GB2312"/>
        </w:rPr>
        <w:t>项目采取封闭式生产车间等措施防止非甲烷总烃和臭气的逸散，厂界非甲烷总烃排放满足《大气污染物综合排放标准》（GB16297-1996）表2无组织排放监控浓度限值；厂界臭气浓度、硫化氢、氨排放须满足《恶臭污染物排放标准》（GB14554-93）表1恶臭污染物厂界标准值；污水处理设施厂界废气排放浓度须满足《城镇污水处理厂污染物排放标准》(GB18918-2002）表4厂界废气排放最高允许浓度的二级标准。</w:t>
      </w:r>
    </w:p>
    <w:p>
      <w:pPr>
        <w:keepNext w:val="0"/>
        <w:keepLines w:val="0"/>
        <w:pageBreakBefore w:val="0"/>
        <w:widowControl w:val="0"/>
        <w:kinsoku/>
        <w:wordWrap/>
        <w:overflowPunct/>
        <w:topLinePunct w:val="0"/>
        <w:autoSpaceDE/>
        <w:autoSpaceDN/>
        <w:bidi w:val="0"/>
        <w:adjustRightInd w:val="0"/>
        <w:spacing w:line="540" w:lineRule="exact"/>
        <w:ind w:firstLine="610" w:firstLineChars="200"/>
        <w:rPr>
          <w:rFonts w:ascii="仿宋_GB2312" w:hAnsi="仿宋"/>
        </w:rPr>
      </w:pPr>
      <w:r>
        <w:rPr>
          <w:rFonts w:hint="eastAsia" w:ascii="仿宋_GB2312" w:hAnsi="宋体"/>
        </w:rPr>
        <w:t>（三）严格落实水污染防治措施。</w:t>
      </w:r>
      <w:r>
        <w:rPr>
          <w:rFonts w:hint="eastAsia" w:ascii="仿宋_GB2312" w:hAnsi="仿宋"/>
        </w:rPr>
        <w:t>项目运营期废水主要为生产废水和生活污水。其中，生产废水主要为</w:t>
      </w:r>
      <w:r>
        <w:rPr>
          <w:rFonts w:hint="eastAsia" w:ascii="仿宋_GB2312" w:hAnsi="宋体"/>
        </w:rPr>
        <w:t>循环冷却废水、精炼废水及锅炉废水。</w:t>
      </w:r>
      <w:r>
        <w:rPr>
          <w:rFonts w:hint="eastAsia" w:ascii="仿宋_GB2312" w:hAnsi="仿宋"/>
        </w:rPr>
        <w:t>生产废水和生活污水均排入地埋式污水处理设施，出水水质满足《污水综合排放标准》（GB8978-1996）表4中的三级标准后，定期采用吸污车运至阿拉尔工业园区污水处理厂。</w:t>
      </w:r>
    </w:p>
    <w:p>
      <w:pPr>
        <w:pStyle w:val="7"/>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ascii="仿宋_GB2312" w:hAnsi="Times New Roman"/>
          <w:sz w:val="32"/>
          <w:szCs w:val="32"/>
        </w:rPr>
      </w:pPr>
      <w:r>
        <w:rPr>
          <w:rFonts w:hint="eastAsia" w:ascii="仿宋_GB2312" w:hAnsi="Times New Roman"/>
          <w:sz w:val="32"/>
          <w:szCs w:val="32"/>
        </w:rPr>
        <w:t>（四）严格落实噪声污染防治措施。该项目噪声主要为风机、水泵、提升机、锅炉等生产设备运行噪声。通过选用低噪声设备，基础减震、合理布局、车间隔音，定期维护设备等降噪措施后，厂界昼间、夜间噪声值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textAlignment w:val="baseline"/>
      </w:pPr>
      <w:r>
        <w:rPr>
          <w:rFonts w:hint="eastAsia"/>
        </w:rPr>
        <w:t>（五）严格落实固体废物污染防治措施。该项目固体废物主要为废机油、废油桶、含油抹布、废活性炭、废灯管、化验室废物、精炼废渣、皂角、废白土、灰渣、除尘灰、污泥、废离子交换树脂、废MBR膜、脱硫石膏和职工生活垃圾。废机油、废油桶、含油抹布、废活性炭、废灯管、化验室废物均属于危险废物，暂存于厂内危险废物贮存间，定期交由具有相应危险废物处置资质的单位转移处置，危险废物贮存间须严格按照《危险废物贮存污染控制标准》（</w:t>
      </w:r>
      <w:r>
        <w:rPr>
          <w:rFonts w:hint="eastAsia" w:ascii="仿宋_GB2312"/>
        </w:rPr>
        <w:t>GB18597-2001</w:t>
      </w:r>
      <w:r>
        <w:rPr>
          <w:rFonts w:hint="eastAsia"/>
        </w:rPr>
        <w:t>）及</w:t>
      </w:r>
      <w:r>
        <w:rPr>
          <w:rFonts w:hint="eastAsia" w:ascii="仿宋_GB2312"/>
        </w:rPr>
        <w:t>2013</w:t>
      </w:r>
      <w:r>
        <w:rPr>
          <w:rFonts w:hint="eastAsia"/>
        </w:rPr>
        <w:t>年修改单中相关要求进行建设和管理；精炼废渣、皂角、废白土、灰渣、除尘灰、污泥、废离子交换树脂、废MBR膜、脱硫石膏均属于一般固体废物，精炼废渣、皂角、废白土暂存在车间内一般固体废物暂存间，</w:t>
      </w:r>
      <w:r>
        <w:rPr>
          <w:rFonts w:hint="eastAsia" w:ascii="仿宋_GB2312" w:hAnsi="仿宋"/>
        </w:rPr>
        <w:t>外售当地废旧物资回收单位</w:t>
      </w:r>
      <w:r>
        <w:rPr>
          <w:rFonts w:hint="eastAsia"/>
        </w:rPr>
        <w:t>；灰渣和除尘灰储存在锅炉房封闭灰罐内，定期外售给附近农户用作肥料；污泥经干化后送至垃圾填埋场卫生填埋；废离子交换树脂及废</w:t>
      </w:r>
      <w:r>
        <w:rPr>
          <w:rFonts w:hint="eastAsia" w:ascii="仿宋_GB2312"/>
        </w:rPr>
        <w:t>MBR</w:t>
      </w:r>
      <w:r>
        <w:rPr>
          <w:rFonts w:hint="eastAsia"/>
        </w:rPr>
        <w:t>膜由设备厂家上门更换回收；脱硫石膏外售建材公司。生活垃圾经收集后</w:t>
      </w:r>
      <w:r>
        <w:rPr>
          <w:rFonts w:hint="eastAsia" w:ascii="仿宋_GB2312" w:hAnsi="仿宋"/>
        </w:rPr>
        <w:t>由环卫部门定期清运处理</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textAlignment w:val="baseline"/>
        <w:rPr>
          <w:rFonts w:ascii="仿宋_GB2312"/>
        </w:rPr>
      </w:pPr>
      <w:r>
        <w:rPr>
          <w:rFonts w:hint="eastAsia"/>
        </w:rPr>
        <w:t>（六）</w:t>
      </w:r>
      <w:r>
        <w:rPr>
          <w:rFonts w:hint="eastAsia" w:ascii="仿宋_GB2312"/>
        </w:rPr>
        <w:t>加强项目环境风险防范。建立严格的环境风险管理制度，认真落实报告表提出的各项风险防范措施；做好环境风险应急预案的编制、评估和备案工作；</w:t>
      </w:r>
      <w:r>
        <w:rPr>
          <w:rFonts w:hint="eastAsia"/>
        </w:rPr>
        <w:t>做好和地方环境应急预案的衔接，定期</w:t>
      </w:r>
      <w:r>
        <w:rPr>
          <w:rFonts w:hint="eastAsia" w:ascii="仿宋_GB2312"/>
        </w:rPr>
        <w:t>开展突发环境事件应急演练，及时对环境应急预案进行完善</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ascii="仿宋_GB2312"/>
        </w:rPr>
      </w:pPr>
      <w:r>
        <w:rPr>
          <w:rFonts w:hint="eastAsia" w:ascii="仿宋_GB2312"/>
          <w:lang w:val="en-US" w:eastAsia="zh-CN"/>
        </w:rPr>
        <w:t>五</w:t>
      </w:r>
      <w:r>
        <w:rPr>
          <w:rFonts w:hint="eastAsia" w:ascii="仿宋_GB2312"/>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30"/>
        <w:rPr>
          <w:rFonts w:ascii="仿宋_GB2312"/>
        </w:rPr>
      </w:pPr>
      <w:r>
        <w:rPr>
          <w:rFonts w:hint="eastAsia" w:ascii="仿宋_GB2312"/>
          <w:lang w:val="en-US" w:eastAsia="zh-CN"/>
        </w:rPr>
        <w:t>六</w:t>
      </w:r>
      <w:r>
        <w:rPr>
          <w:rFonts w:hint="eastAsia" w:ascii="仿宋_GB2312"/>
        </w:rPr>
        <w:t>、你单位须严格按照《排污许可证管理暂行规定》要求，在投入生产或使用并产生实际排污行为之前申请领取排污许可证或进行排污登记。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ascii="仿宋_GB2312"/>
        </w:rPr>
      </w:pPr>
      <w:r>
        <w:rPr>
          <w:rFonts w:hint="eastAsia" w:ascii="仿宋_GB2312"/>
          <w:lang w:val="en-US" w:eastAsia="zh-CN"/>
        </w:rPr>
        <w:t>七</w:t>
      </w:r>
      <w:r>
        <w:rPr>
          <w:rFonts w:hint="eastAsia" w:ascii="仿宋_GB2312"/>
        </w:rPr>
        <w:t>、根据《中华人民共和国环境影响评价法》等相关环保法律法规的规定，若项目性质、规模、地点、采用的防治污染、防止生态破坏的措施等发生重大变化的，应依法重新报批环评文件。自批准之日起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autoSpaceDE/>
        <w:autoSpaceDN/>
        <w:bidi w:val="0"/>
        <w:adjustRightInd w:val="0"/>
        <w:snapToGrid w:val="0"/>
        <w:spacing w:line="540" w:lineRule="exact"/>
        <w:ind w:firstLine="610" w:firstLineChars="200"/>
        <w:rPr>
          <w:rFonts w:ascii="仿宋_GB2312"/>
        </w:rPr>
      </w:pPr>
      <w:r>
        <w:rPr>
          <w:rFonts w:hint="eastAsia" w:ascii="仿宋_GB2312"/>
          <w:lang w:val="en-US" w:eastAsia="zh-CN"/>
        </w:rPr>
        <w:t>八</w:t>
      </w:r>
      <w:r>
        <w:rPr>
          <w:rFonts w:hint="eastAsia" w:ascii="仿宋_GB2312"/>
        </w:rPr>
        <w:t>、</w:t>
      </w:r>
      <w:r>
        <w:rPr>
          <w:rFonts w:hint="eastAsia" w:ascii="仿宋_GB2312" w:hAnsi="Helvetica" w:cs="Helvetica"/>
        </w:rPr>
        <w:t>八团按照</w:t>
      </w:r>
      <w:r>
        <w:rPr>
          <w:rFonts w:hint="eastAsia" w:ascii="仿宋_GB2312" w:hAnsi="仿宋_GB2312" w:cs="仿宋_GB2312"/>
        </w:rPr>
        <w:t>《关于印发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w:t>
      </w:r>
      <w:r>
        <w:rPr>
          <w:rFonts w:hint="eastAsia" w:ascii="仿宋_GB2312" w:hAnsi="仿宋_GB2312"/>
        </w:rPr>
        <w:t>，做好该项目环境监管</w:t>
      </w:r>
      <w:r>
        <w:rPr>
          <w:rFonts w:hint="eastAsia" w:ascii="仿宋_GB2312"/>
        </w:rPr>
        <w:t>工作，师市生态环境综合行政执法支队做好该项目的抽查日常监督管理工作。</w:t>
      </w:r>
    </w:p>
    <w:p>
      <w:pPr>
        <w:pStyle w:val="2"/>
        <w:rPr>
          <w:rFonts w:ascii="仿宋_GB2312"/>
          <w:color w:val="auto"/>
        </w:rPr>
      </w:pPr>
    </w:p>
    <w:p/>
    <w:p>
      <w:pPr>
        <w:adjustRightInd w:val="0"/>
        <w:snapToGrid w:val="0"/>
        <w:spacing w:line="560" w:lineRule="exact"/>
        <w:ind w:firstLine="4743" w:firstLineChars="1555"/>
        <w:rPr>
          <w:rFonts w:ascii="仿宋_GB2312"/>
          <w:kern w:val="0"/>
        </w:rPr>
      </w:pPr>
      <w:r>
        <w:rPr>
          <w:rFonts w:hint="eastAsia" w:ascii="仿宋_GB2312" w:cs="仿宋_GB2312"/>
          <w:kern w:val="0"/>
        </w:rPr>
        <w:t>第一师阿拉尔市生态环境局</w:t>
      </w:r>
    </w:p>
    <w:p>
      <w:pPr>
        <w:spacing w:line="240" w:lineRule="atLeast"/>
      </w:pPr>
      <w:r>
        <w:rPr>
          <w:rFonts w:ascii="仿宋_GB2312"/>
          <w:kern w:val="0"/>
        </w:rPr>
        <w:t xml:space="preserve">                                    2021</w:t>
      </w:r>
      <w:r>
        <w:rPr>
          <w:rFonts w:hint="eastAsia" w:ascii="仿宋_GB2312"/>
          <w:kern w:val="0"/>
        </w:rPr>
        <w:t>年</w:t>
      </w:r>
      <w:r>
        <w:rPr>
          <w:rFonts w:hint="eastAsia" w:ascii="仿宋_GB2312"/>
          <w:kern w:val="0"/>
          <w:lang w:val="en-US" w:eastAsia="zh-CN"/>
        </w:rPr>
        <w:t>10</w:t>
      </w:r>
      <w:r>
        <w:rPr>
          <w:rFonts w:hint="eastAsia" w:ascii="仿宋_GB2312" w:cs="仿宋_GB2312"/>
          <w:kern w:val="0"/>
        </w:rPr>
        <w:t>月</w:t>
      </w:r>
      <w:r>
        <w:rPr>
          <w:rFonts w:hint="eastAsia" w:ascii="仿宋_GB2312" w:cs="仿宋_GB2312"/>
          <w:kern w:val="0"/>
          <w:lang w:val="en-US" w:eastAsia="zh-CN"/>
        </w:rPr>
        <w:t>11</w:t>
      </w:r>
      <w:r>
        <w:rPr>
          <w:rFonts w:hint="eastAsia" w:ascii="仿宋_GB2312" w:cs="仿宋_GB2312"/>
          <w:kern w:val="0"/>
        </w:rPr>
        <w:t>日</w:t>
      </w:r>
    </w:p>
    <w:p>
      <w:pPr>
        <w:pStyle w:val="12"/>
        <w:ind w:left="0" w:leftChars="0" w:firstLine="0" w:firstLineChars="0"/>
      </w:pPr>
    </w:p>
    <w:p>
      <w:pPr>
        <w:pStyle w:val="12"/>
        <w:ind w:left="0" w:leftChars="0" w:firstLine="0" w:firstLineChars="0"/>
      </w:pPr>
    </w:p>
    <w:p>
      <w:pPr>
        <w:pStyle w:val="12"/>
        <w:ind w:left="0" w:leftChars="0" w:firstLine="0" w:firstLineChars="0"/>
      </w:pPr>
    </w:p>
    <w:p>
      <w:pPr>
        <w:pStyle w:val="12"/>
        <w:ind w:left="0" w:leftChars="0" w:firstLine="0" w:firstLineChars="0"/>
      </w:pPr>
    </w:p>
    <w:p>
      <w:pPr>
        <w:pStyle w:val="12"/>
        <w:ind w:left="0" w:leftChars="0" w:firstLine="0" w:firstLineChars="0"/>
      </w:pPr>
    </w:p>
    <w:p>
      <w:pPr>
        <w:pStyle w:val="12"/>
        <w:ind w:left="0" w:leftChars="0" w:firstLine="0" w:firstLineChars="0"/>
      </w:pPr>
    </w:p>
    <w:p>
      <w:pPr>
        <w:pStyle w:val="12"/>
        <w:ind w:left="0" w:leftChars="0" w:firstLine="0" w:firstLineChars="0"/>
      </w:pPr>
    </w:p>
    <w:p>
      <w:pPr>
        <w:pStyle w:val="12"/>
        <w:ind w:left="0" w:leftChars="0" w:firstLine="0" w:firstLineChars="0"/>
      </w:pPr>
    </w:p>
    <w:p>
      <w:pPr>
        <w:pStyle w:val="12"/>
        <w:ind w:left="0" w:leftChars="0" w:firstLine="0" w:firstLineChars="0"/>
      </w:pPr>
    </w:p>
    <w:p>
      <w:pPr>
        <w:topLinePunct/>
        <w:adjustRightInd w:val="0"/>
        <w:snapToGrid w:val="0"/>
        <w:spacing w:line="520" w:lineRule="exact"/>
        <w:rPr>
          <w:rFonts w:ascii="仿宋_GB2312" w:cs="仿宋_GB2312"/>
          <w:spacing w:val="-3"/>
          <w:sz w:val="28"/>
          <w:szCs w:val="28"/>
        </w:rPr>
      </w:pPr>
      <w: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2" name="直线 4"/>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2.3pt;margin-top:0.3pt;height:0pt;width:456.9pt;z-index:25166028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1hSD0gAAAAQBAAAPAAAAAAAA&#10;AAEAIAAAACIAAABkcnMvZG93bnJldi54bWxQSwECFAAUAAAACACHTuJAVln/Tt8BAADQAwAADgAA&#10;AAAAAAABACAAAAAhAQAAZHJzL2Uyb0RvYy54bWxQSwUGAAAAAAYABgBZAQAAcgUAAAAA&#10;">
                <v:fill on="f" focussize="0,0"/>
                <v:stroke weight="1.5pt" color="#000000" joinstyle="round"/>
                <v:imagedata o:title=""/>
                <o:lock v:ext="edit" aspectratio="f"/>
              </v:line>
            </w:pict>
          </mc:Fallback>
        </mc:AlternateContent>
      </w:r>
      <w:r>
        <w:rPr>
          <w:rFonts w:hint="eastAsia" w:ascii="仿宋_GB2312" w:hAnsi="仿宋_GB2312" w:cs="仿宋_GB2312"/>
          <w:spacing w:val="-3"/>
          <w:sz w:val="28"/>
          <w:szCs w:val="28"/>
        </w:rPr>
        <w:t>抄送：师市相关领导，自然资源和规划局、住建局、</w:t>
      </w:r>
      <w:r>
        <w:rPr>
          <w:rFonts w:hint="eastAsia" w:ascii="仿宋_GB2312" w:hAnsi="仿宋_GB2312" w:cs="仿宋_GB2312"/>
          <w:spacing w:val="-3"/>
          <w:sz w:val="28"/>
          <w:szCs w:val="28"/>
          <w:lang w:val="en-US" w:eastAsia="zh-CN"/>
        </w:rPr>
        <w:t>工信局、</w:t>
      </w:r>
      <w:r>
        <w:rPr>
          <w:rFonts w:hint="eastAsia" w:ascii="仿宋_GB2312" w:hAnsi="仿宋_GB2312" w:cs="仿宋_GB2312"/>
          <w:spacing w:val="-3"/>
          <w:sz w:val="28"/>
          <w:szCs w:val="28"/>
        </w:rPr>
        <w:t>八团、生态环境保护综合行政执法支队、</w:t>
      </w:r>
      <w:r>
        <w:rPr>
          <w:rFonts w:hint="eastAsia"/>
          <w:spacing w:val="-3"/>
          <w:sz w:val="28"/>
          <w:szCs w:val="28"/>
        </w:rPr>
        <w:t>乌鲁木齐创鑫蔚环保科技有限公司</w:t>
      </w:r>
      <w:r>
        <w:rPr>
          <w:rFonts w:hint="eastAsia" w:ascii="仿宋_GB2312" w:hAnsi="仿宋_GB2312" w:cs="仿宋_GB2312"/>
          <w:spacing w:val="-3"/>
          <w:sz w:val="28"/>
          <w:szCs w:val="28"/>
        </w:rPr>
        <w:t>。</w:t>
      </w:r>
    </w:p>
    <w:p>
      <w:pPr>
        <w:topLinePunct/>
        <w:adjustRightInd w:val="0"/>
        <w:snapToGrid w:val="0"/>
        <w:spacing w:line="520" w:lineRule="exact"/>
      </w:pPr>
      <w: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3" name="直线 5"/>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g6GWXWAAAACAEAAA8A&#10;AAAAAAAAAQAgAAAAIgAAAGRycy9kb3ducmV2LnhtbFBLAQIUABQAAAAIAIdO4kA/C3uf4AEAANAD&#10;AAAOAAAAAAAAAAEAIAAAACUBAABkcnMvZTJvRG9jLnhtbFBLBQYAAAAABgAGAFkBAAB3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4" name="直线 6"/>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jhgg1AAAAAYBAAAPAAAA&#10;AAAAAAEAIAAAACIAAABkcnMvZG93bnJldi54bWxQSwECFAAUAAAACACHTuJAZEz83eABAADPAwAA&#10;DgAAAAAAAAABACAAAAAjAQAAZHJzL2Uyb0RvYy54bWxQSwUGAAAAAAYABgBZAQAAdQU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bookmarkStart w:id="0" w:name="_GoBack"/>
      <w:bookmarkEnd w:id="0"/>
      <w:r>
        <w:rPr>
          <w:sz w:val="28"/>
          <w:szCs w:val="28"/>
        </w:rPr>
        <w:t>2021年</w:t>
      </w:r>
      <w:r>
        <w:rPr>
          <w:rFonts w:hint="eastAsia"/>
          <w:sz w:val="28"/>
          <w:szCs w:val="28"/>
          <w:lang w:val="en-US" w:eastAsia="zh-CN"/>
        </w:rPr>
        <w:t>10</w:t>
      </w:r>
      <w:r>
        <w:rPr>
          <w:sz w:val="28"/>
          <w:szCs w:val="28"/>
        </w:rPr>
        <w:t>月</w:t>
      </w:r>
      <w:r>
        <w:rPr>
          <w:rFonts w:hint="eastAsia"/>
          <w:sz w:val="28"/>
          <w:szCs w:val="28"/>
          <w:lang w:val="en-US" w:eastAsia="zh-CN"/>
        </w:rPr>
        <w:t>11</w:t>
      </w:r>
      <w:r>
        <w:rPr>
          <w:sz w:val="28"/>
          <w:szCs w:val="28"/>
        </w:rPr>
        <w:t>日</w:t>
      </w:r>
      <w:r>
        <w:rPr>
          <w:rFonts w:hint="eastAsia"/>
          <w:sz w:val="28"/>
          <w:szCs w:val="28"/>
        </w:rPr>
        <w:t>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仿宋_GB2312"/>
        <w:sz w:val="28"/>
        <w:szCs w:val="2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1</w:t>
                          </w:r>
                          <w:r>
                            <w:rPr>
                              <w:rFonts w:ascii="仿宋_GB2312"/>
                              <w:sz w:val="28"/>
                              <w:szCs w:val="28"/>
                            </w:rPr>
                            <w:fldChar w:fldCharType="end"/>
                          </w:r>
                          <w:r>
                            <w:rPr>
                              <w:rFonts w:ascii="仿宋_GB2312"/>
                              <w:sz w:val="28"/>
                              <w:szCs w:val="28"/>
                            </w:rPr>
                            <w:t xml:space="preserve"> —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1</w:t>
                    </w:r>
                    <w:r>
                      <w:rPr>
                        <w:rFonts w:ascii="仿宋_GB2312"/>
                        <w:sz w:val="28"/>
                        <w:szCs w:val="28"/>
                      </w:rPr>
                      <w:fldChar w:fldCharType="end"/>
                    </w:r>
                    <w:r>
                      <w:rPr>
                        <w:rFonts w:ascii="仿宋_GB2312"/>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仿宋_GB2312"/>
        <w:sz w:val="28"/>
        <w:szCs w:val="28"/>
      </w:rPr>
    </w:pPr>
    <w:r>
      <w:rPr>
        <w:rFonts w:ascii="仿宋_GB2312"/>
        <w:sz w:val="28"/>
        <w:szCs w:val="28"/>
      </w:rPr>
      <w:t xml:space="preserve">— </w:t>
    </w:r>
    <w:r>
      <w:rPr>
        <w:rStyle w:val="15"/>
        <w:rFonts w:ascii="仿宋_GB2312"/>
        <w:sz w:val="28"/>
        <w:szCs w:val="28"/>
      </w:rPr>
      <w:fldChar w:fldCharType="begin"/>
    </w:r>
    <w:r>
      <w:rPr>
        <w:rStyle w:val="15"/>
        <w:rFonts w:ascii="仿宋_GB2312"/>
        <w:sz w:val="28"/>
        <w:szCs w:val="28"/>
      </w:rPr>
      <w:instrText xml:space="preserve"> PAGE </w:instrText>
    </w:r>
    <w:r>
      <w:rPr>
        <w:rStyle w:val="15"/>
        <w:rFonts w:ascii="仿宋_GB2312"/>
        <w:sz w:val="28"/>
        <w:szCs w:val="28"/>
      </w:rPr>
      <w:fldChar w:fldCharType="separate"/>
    </w:r>
    <w:r>
      <w:rPr>
        <w:rStyle w:val="15"/>
        <w:rFonts w:ascii="仿宋_GB2312"/>
        <w:sz w:val="28"/>
        <w:szCs w:val="28"/>
      </w:rPr>
      <w:t>4</w:t>
    </w:r>
    <w:r>
      <w:rPr>
        <w:rStyle w:val="15"/>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4CD"/>
    <w:rsid w:val="0002100E"/>
    <w:rsid w:val="00025129"/>
    <w:rsid w:val="00032E1C"/>
    <w:rsid w:val="0003527B"/>
    <w:rsid w:val="0003627E"/>
    <w:rsid w:val="00067B08"/>
    <w:rsid w:val="00071A4D"/>
    <w:rsid w:val="000738C8"/>
    <w:rsid w:val="00073C72"/>
    <w:rsid w:val="0007468E"/>
    <w:rsid w:val="00081DFA"/>
    <w:rsid w:val="0009177B"/>
    <w:rsid w:val="000E325E"/>
    <w:rsid w:val="000E36E3"/>
    <w:rsid w:val="000F6540"/>
    <w:rsid w:val="00102670"/>
    <w:rsid w:val="00112760"/>
    <w:rsid w:val="001131A0"/>
    <w:rsid w:val="0011780B"/>
    <w:rsid w:val="001351AA"/>
    <w:rsid w:val="001431BE"/>
    <w:rsid w:val="001478A1"/>
    <w:rsid w:val="00151BC5"/>
    <w:rsid w:val="001639FC"/>
    <w:rsid w:val="00171DAC"/>
    <w:rsid w:val="00172A27"/>
    <w:rsid w:val="00173C39"/>
    <w:rsid w:val="00182FEC"/>
    <w:rsid w:val="001A2A43"/>
    <w:rsid w:val="001B36E1"/>
    <w:rsid w:val="001B523D"/>
    <w:rsid w:val="001C118C"/>
    <w:rsid w:val="001C4019"/>
    <w:rsid w:val="001C4435"/>
    <w:rsid w:val="001C6802"/>
    <w:rsid w:val="001C7850"/>
    <w:rsid w:val="001E3B52"/>
    <w:rsid w:val="001F7C75"/>
    <w:rsid w:val="0020163E"/>
    <w:rsid w:val="002132B7"/>
    <w:rsid w:val="00217698"/>
    <w:rsid w:val="00221F17"/>
    <w:rsid w:val="00227C51"/>
    <w:rsid w:val="00242BA0"/>
    <w:rsid w:val="00295BA8"/>
    <w:rsid w:val="002A3C15"/>
    <w:rsid w:val="002B19C8"/>
    <w:rsid w:val="002B542D"/>
    <w:rsid w:val="002B6DD0"/>
    <w:rsid w:val="002F3867"/>
    <w:rsid w:val="002F5F6B"/>
    <w:rsid w:val="00301877"/>
    <w:rsid w:val="003023C4"/>
    <w:rsid w:val="00304D0B"/>
    <w:rsid w:val="003111A9"/>
    <w:rsid w:val="00315A0C"/>
    <w:rsid w:val="0033434E"/>
    <w:rsid w:val="00344500"/>
    <w:rsid w:val="0034681B"/>
    <w:rsid w:val="00356217"/>
    <w:rsid w:val="00362623"/>
    <w:rsid w:val="00381759"/>
    <w:rsid w:val="0039331B"/>
    <w:rsid w:val="00394E35"/>
    <w:rsid w:val="003A7228"/>
    <w:rsid w:val="003C0176"/>
    <w:rsid w:val="003E5B91"/>
    <w:rsid w:val="003F3A9F"/>
    <w:rsid w:val="003F5ECF"/>
    <w:rsid w:val="003F754F"/>
    <w:rsid w:val="003F7F32"/>
    <w:rsid w:val="00414269"/>
    <w:rsid w:val="0042735D"/>
    <w:rsid w:val="00437564"/>
    <w:rsid w:val="00451AA7"/>
    <w:rsid w:val="00464BA2"/>
    <w:rsid w:val="00465DC3"/>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77142"/>
    <w:rsid w:val="005A0EF4"/>
    <w:rsid w:val="005A55E3"/>
    <w:rsid w:val="005B5904"/>
    <w:rsid w:val="005B7397"/>
    <w:rsid w:val="005C1023"/>
    <w:rsid w:val="005C4009"/>
    <w:rsid w:val="005D4B5A"/>
    <w:rsid w:val="005D7ACA"/>
    <w:rsid w:val="005E495F"/>
    <w:rsid w:val="005E71F3"/>
    <w:rsid w:val="00616CC0"/>
    <w:rsid w:val="00625852"/>
    <w:rsid w:val="00625BEE"/>
    <w:rsid w:val="00633A23"/>
    <w:rsid w:val="00635F1D"/>
    <w:rsid w:val="006403BB"/>
    <w:rsid w:val="00640AE8"/>
    <w:rsid w:val="00667317"/>
    <w:rsid w:val="006727ED"/>
    <w:rsid w:val="006A7D9C"/>
    <w:rsid w:val="006C14B9"/>
    <w:rsid w:val="006D69B8"/>
    <w:rsid w:val="006D7837"/>
    <w:rsid w:val="00702A5C"/>
    <w:rsid w:val="00721566"/>
    <w:rsid w:val="00722814"/>
    <w:rsid w:val="00725EB1"/>
    <w:rsid w:val="0076670F"/>
    <w:rsid w:val="00782DFB"/>
    <w:rsid w:val="007920AE"/>
    <w:rsid w:val="0079224D"/>
    <w:rsid w:val="00794251"/>
    <w:rsid w:val="00794C98"/>
    <w:rsid w:val="007A536E"/>
    <w:rsid w:val="007B14CA"/>
    <w:rsid w:val="007B75B9"/>
    <w:rsid w:val="007C2643"/>
    <w:rsid w:val="007C727B"/>
    <w:rsid w:val="007C7434"/>
    <w:rsid w:val="007E7E36"/>
    <w:rsid w:val="007F26DF"/>
    <w:rsid w:val="00836A8C"/>
    <w:rsid w:val="00844B6B"/>
    <w:rsid w:val="008473C2"/>
    <w:rsid w:val="00853419"/>
    <w:rsid w:val="00870BDC"/>
    <w:rsid w:val="008A0CD9"/>
    <w:rsid w:val="008A3DE4"/>
    <w:rsid w:val="008B3ABC"/>
    <w:rsid w:val="008B4592"/>
    <w:rsid w:val="008B53D6"/>
    <w:rsid w:val="008C4076"/>
    <w:rsid w:val="008E4CAD"/>
    <w:rsid w:val="00906FBC"/>
    <w:rsid w:val="00915F33"/>
    <w:rsid w:val="00932329"/>
    <w:rsid w:val="00936BF1"/>
    <w:rsid w:val="00940701"/>
    <w:rsid w:val="009451BE"/>
    <w:rsid w:val="00967F11"/>
    <w:rsid w:val="009717AE"/>
    <w:rsid w:val="00973D76"/>
    <w:rsid w:val="009831E4"/>
    <w:rsid w:val="009A4BB2"/>
    <w:rsid w:val="009A57E1"/>
    <w:rsid w:val="009A6ADB"/>
    <w:rsid w:val="009C4D01"/>
    <w:rsid w:val="009C7135"/>
    <w:rsid w:val="009D32CE"/>
    <w:rsid w:val="009D3FB3"/>
    <w:rsid w:val="009E7B40"/>
    <w:rsid w:val="00A022D0"/>
    <w:rsid w:val="00A10371"/>
    <w:rsid w:val="00A123AE"/>
    <w:rsid w:val="00A4697E"/>
    <w:rsid w:val="00A47725"/>
    <w:rsid w:val="00A657FC"/>
    <w:rsid w:val="00A6628E"/>
    <w:rsid w:val="00A750A6"/>
    <w:rsid w:val="00A77C79"/>
    <w:rsid w:val="00AA3603"/>
    <w:rsid w:val="00AA4D77"/>
    <w:rsid w:val="00AB6EF5"/>
    <w:rsid w:val="00AC3EDC"/>
    <w:rsid w:val="00AC4A8C"/>
    <w:rsid w:val="00AC6CC0"/>
    <w:rsid w:val="00AD3DAD"/>
    <w:rsid w:val="00AE033B"/>
    <w:rsid w:val="00AE1A9B"/>
    <w:rsid w:val="00AE644B"/>
    <w:rsid w:val="00AE6472"/>
    <w:rsid w:val="00AF5850"/>
    <w:rsid w:val="00B00731"/>
    <w:rsid w:val="00B016D8"/>
    <w:rsid w:val="00B124C4"/>
    <w:rsid w:val="00B21DBA"/>
    <w:rsid w:val="00B25E52"/>
    <w:rsid w:val="00B62F40"/>
    <w:rsid w:val="00B749E5"/>
    <w:rsid w:val="00B8493D"/>
    <w:rsid w:val="00B86D4E"/>
    <w:rsid w:val="00B91920"/>
    <w:rsid w:val="00B932C8"/>
    <w:rsid w:val="00BA5CB4"/>
    <w:rsid w:val="00BB0A14"/>
    <w:rsid w:val="00BB145C"/>
    <w:rsid w:val="00BB4C09"/>
    <w:rsid w:val="00BC1FD2"/>
    <w:rsid w:val="00BC5666"/>
    <w:rsid w:val="00BD1D4D"/>
    <w:rsid w:val="00C21A9D"/>
    <w:rsid w:val="00C5777D"/>
    <w:rsid w:val="00C62C13"/>
    <w:rsid w:val="00C6330E"/>
    <w:rsid w:val="00C83EEA"/>
    <w:rsid w:val="00C965F6"/>
    <w:rsid w:val="00CA71CC"/>
    <w:rsid w:val="00CC1602"/>
    <w:rsid w:val="00CC768D"/>
    <w:rsid w:val="00CF24A0"/>
    <w:rsid w:val="00CF6420"/>
    <w:rsid w:val="00D031D8"/>
    <w:rsid w:val="00D033F3"/>
    <w:rsid w:val="00D3088C"/>
    <w:rsid w:val="00D325FE"/>
    <w:rsid w:val="00D34FA7"/>
    <w:rsid w:val="00D51444"/>
    <w:rsid w:val="00D6121A"/>
    <w:rsid w:val="00D62111"/>
    <w:rsid w:val="00D6225C"/>
    <w:rsid w:val="00D624A5"/>
    <w:rsid w:val="00D62772"/>
    <w:rsid w:val="00DA2BC4"/>
    <w:rsid w:val="00DC2A23"/>
    <w:rsid w:val="00DD10F6"/>
    <w:rsid w:val="00DD7B76"/>
    <w:rsid w:val="00DE3958"/>
    <w:rsid w:val="00DE4EA5"/>
    <w:rsid w:val="00DF55D1"/>
    <w:rsid w:val="00E205D2"/>
    <w:rsid w:val="00E20F24"/>
    <w:rsid w:val="00E231D6"/>
    <w:rsid w:val="00E36172"/>
    <w:rsid w:val="00E570ED"/>
    <w:rsid w:val="00E74521"/>
    <w:rsid w:val="00E9496E"/>
    <w:rsid w:val="00EB462A"/>
    <w:rsid w:val="00EC2B80"/>
    <w:rsid w:val="00EC43F2"/>
    <w:rsid w:val="00ED27DE"/>
    <w:rsid w:val="00EE1372"/>
    <w:rsid w:val="00EE7E1B"/>
    <w:rsid w:val="00EF36B4"/>
    <w:rsid w:val="00EF3DA7"/>
    <w:rsid w:val="00F2189F"/>
    <w:rsid w:val="00F3491A"/>
    <w:rsid w:val="00F35718"/>
    <w:rsid w:val="00F4139D"/>
    <w:rsid w:val="00F47EFE"/>
    <w:rsid w:val="00F64F83"/>
    <w:rsid w:val="00F86B97"/>
    <w:rsid w:val="00FB12D5"/>
    <w:rsid w:val="00FB3D4F"/>
    <w:rsid w:val="00FB7B39"/>
    <w:rsid w:val="00FC166D"/>
    <w:rsid w:val="00FD02D8"/>
    <w:rsid w:val="00FF1A9F"/>
    <w:rsid w:val="00FF658E"/>
    <w:rsid w:val="00FF75C2"/>
    <w:rsid w:val="016F59AA"/>
    <w:rsid w:val="02B04992"/>
    <w:rsid w:val="034755F0"/>
    <w:rsid w:val="03D12BCA"/>
    <w:rsid w:val="05266A20"/>
    <w:rsid w:val="05D43962"/>
    <w:rsid w:val="08811A5C"/>
    <w:rsid w:val="0AD425F9"/>
    <w:rsid w:val="0D8D4AC6"/>
    <w:rsid w:val="0DFA508A"/>
    <w:rsid w:val="0EDA614B"/>
    <w:rsid w:val="106A30F3"/>
    <w:rsid w:val="14420023"/>
    <w:rsid w:val="14FD6733"/>
    <w:rsid w:val="173166B8"/>
    <w:rsid w:val="17D468F4"/>
    <w:rsid w:val="1AF44BD8"/>
    <w:rsid w:val="1B4A2CAF"/>
    <w:rsid w:val="1B897F64"/>
    <w:rsid w:val="1D246E55"/>
    <w:rsid w:val="1D7B2102"/>
    <w:rsid w:val="1DA90861"/>
    <w:rsid w:val="1DB85381"/>
    <w:rsid w:val="1DEC0FF2"/>
    <w:rsid w:val="1E7476C9"/>
    <w:rsid w:val="200E15B3"/>
    <w:rsid w:val="211667CB"/>
    <w:rsid w:val="21530B74"/>
    <w:rsid w:val="239B50D7"/>
    <w:rsid w:val="24DB4525"/>
    <w:rsid w:val="2591376E"/>
    <w:rsid w:val="263C168D"/>
    <w:rsid w:val="269902DF"/>
    <w:rsid w:val="275746DD"/>
    <w:rsid w:val="27600519"/>
    <w:rsid w:val="28A3577E"/>
    <w:rsid w:val="295B2467"/>
    <w:rsid w:val="2A042400"/>
    <w:rsid w:val="2AA26EDD"/>
    <w:rsid w:val="30455855"/>
    <w:rsid w:val="30FF409F"/>
    <w:rsid w:val="31785F6E"/>
    <w:rsid w:val="31B5299E"/>
    <w:rsid w:val="32E10D6E"/>
    <w:rsid w:val="33E402A7"/>
    <w:rsid w:val="342C2E72"/>
    <w:rsid w:val="349975D5"/>
    <w:rsid w:val="34BA101F"/>
    <w:rsid w:val="34F03326"/>
    <w:rsid w:val="35621FD3"/>
    <w:rsid w:val="36E060DC"/>
    <w:rsid w:val="37621267"/>
    <w:rsid w:val="399B14CC"/>
    <w:rsid w:val="3BC43568"/>
    <w:rsid w:val="3C6D1C18"/>
    <w:rsid w:val="40AD24A6"/>
    <w:rsid w:val="40E427EF"/>
    <w:rsid w:val="40ED03F5"/>
    <w:rsid w:val="44FC29CD"/>
    <w:rsid w:val="453938BB"/>
    <w:rsid w:val="46022F6A"/>
    <w:rsid w:val="474D3B15"/>
    <w:rsid w:val="47784399"/>
    <w:rsid w:val="4A240FA5"/>
    <w:rsid w:val="4A765CE3"/>
    <w:rsid w:val="4AC921B2"/>
    <w:rsid w:val="4B702A6C"/>
    <w:rsid w:val="4C30095A"/>
    <w:rsid w:val="4C3345A7"/>
    <w:rsid w:val="4D683FE0"/>
    <w:rsid w:val="4E74734C"/>
    <w:rsid w:val="501974C4"/>
    <w:rsid w:val="508D765E"/>
    <w:rsid w:val="54502155"/>
    <w:rsid w:val="54682555"/>
    <w:rsid w:val="57F047FE"/>
    <w:rsid w:val="58747712"/>
    <w:rsid w:val="5A1D7C7F"/>
    <w:rsid w:val="5A262FA8"/>
    <w:rsid w:val="5B1D1734"/>
    <w:rsid w:val="5B4B6D74"/>
    <w:rsid w:val="5CD25C98"/>
    <w:rsid w:val="5E2E1E64"/>
    <w:rsid w:val="5ED831C8"/>
    <w:rsid w:val="5F9266A4"/>
    <w:rsid w:val="5FC53F0C"/>
    <w:rsid w:val="60176797"/>
    <w:rsid w:val="60182BAD"/>
    <w:rsid w:val="6105263C"/>
    <w:rsid w:val="61F747AF"/>
    <w:rsid w:val="623E68BF"/>
    <w:rsid w:val="626D698F"/>
    <w:rsid w:val="62833D3F"/>
    <w:rsid w:val="6378393C"/>
    <w:rsid w:val="63F123EB"/>
    <w:rsid w:val="643B27E7"/>
    <w:rsid w:val="64400A77"/>
    <w:rsid w:val="64AC6C6D"/>
    <w:rsid w:val="64C3605F"/>
    <w:rsid w:val="65281682"/>
    <w:rsid w:val="690F337D"/>
    <w:rsid w:val="6A5346D7"/>
    <w:rsid w:val="6D3E2631"/>
    <w:rsid w:val="704979B6"/>
    <w:rsid w:val="71313099"/>
    <w:rsid w:val="7215000D"/>
    <w:rsid w:val="727609EA"/>
    <w:rsid w:val="734B05C2"/>
    <w:rsid w:val="73A54DA3"/>
    <w:rsid w:val="7414378F"/>
    <w:rsid w:val="74C507FC"/>
    <w:rsid w:val="75421228"/>
    <w:rsid w:val="75963FB7"/>
    <w:rsid w:val="75EE3F91"/>
    <w:rsid w:val="77076C9F"/>
    <w:rsid w:val="7809259D"/>
    <w:rsid w:val="78165F38"/>
    <w:rsid w:val="79890041"/>
    <w:rsid w:val="7DE1518D"/>
    <w:rsid w:val="7E24255E"/>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qFormat/>
    <w:uiPriority w:val="99"/>
    <w:pPr>
      <w:autoSpaceDE w:val="0"/>
      <w:autoSpaceDN w:val="0"/>
      <w:jc w:val="left"/>
    </w:pPr>
    <w:rPr>
      <w:rFonts w:ascii="宋体" w:eastAsia="宋体"/>
      <w:color w:val="000000"/>
      <w:kern w:val="0"/>
      <w:sz w:val="24"/>
      <w:szCs w:val="24"/>
    </w:rPr>
  </w:style>
  <w:style w:type="paragraph" w:styleId="3">
    <w:name w:val="Normal Indent"/>
    <w:basedOn w:val="1"/>
    <w:link w:val="27"/>
    <w:qFormat/>
    <w:uiPriority w:val="99"/>
    <w:pPr>
      <w:spacing w:line="520" w:lineRule="exact"/>
      <w:ind w:firstLine="624"/>
    </w:pPr>
    <w:rPr>
      <w:rFonts w:eastAsia="宋体"/>
      <w:sz w:val="28"/>
      <w:szCs w:val="20"/>
    </w:rPr>
  </w:style>
  <w:style w:type="paragraph" w:styleId="4">
    <w:name w:val="annotation text"/>
    <w:basedOn w:val="1"/>
    <w:link w:val="31"/>
    <w:semiHidden/>
    <w:qFormat/>
    <w:locked/>
    <w:uiPriority w:val="99"/>
    <w:pPr>
      <w:jc w:val="left"/>
    </w:pPr>
    <w:rPr>
      <w:kern w:val="0"/>
    </w:rPr>
  </w:style>
  <w:style w:type="paragraph" w:styleId="5">
    <w:name w:val="Body Text"/>
    <w:basedOn w:val="1"/>
    <w:link w:val="17"/>
    <w:qFormat/>
    <w:uiPriority w:val="99"/>
    <w:pPr>
      <w:spacing w:after="120"/>
    </w:pPr>
    <w:rPr>
      <w:kern w:val="0"/>
      <w:szCs w:val="20"/>
    </w:rPr>
  </w:style>
  <w:style w:type="paragraph" w:styleId="6">
    <w:name w:val="Body Text Indent"/>
    <w:basedOn w:val="1"/>
    <w:link w:val="18"/>
    <w:qFormat/>
    <w:uiPriority w:val="99"/>
    <w:pPr>
      <w:spacing w:after="120"/>
      <w:ind w:left="420" w:leftChars="200"/>
    </w:pPr>
    <w:rPr>
      <w:szCs w:val="20"/>
    </w:rPr>
  </w:style>
  <w:style w:type="paragraph" w:styleId="7">
    <w:name w:val="Plain Text"/>
    <w:basedOn w:val="1"/>
    <w:link w:val="24"/>
    <w:qFormat/>
    <w:uiPriority w:val="99"/>
    <w:rPr>
      <w:rFonts w:ascii="宋体" w:hAnsi="Courier New"/>
      <w:sz w:val="28"/>
      <w:szCs w:val="20"/>
    </w:rPr>
  </w:style>
  <w:style w:type="paragraph" w:styleId="8">
    <w:name w:val="Balloon Text"/>
    <w:basedOn w:val="1"/>
    <w:link w:val="33"/>
    <w:semiHidden/>
    <w:qFormat/>
    <w:locked/>
    <w:uiPriority w:val="99"/>
    <w:rPr>
      <w:kern w:val="0"/>
      <w:sz w:val="2"/>
    </w:rPr>
  </w:style>
  <w:style w:type="paragraph" w:styleId="9">
    <w:name w:val="footer"/>
    <w:basedOn w:val="1"/>
    <w:link w:val="20"/>
    <w:qFormat/>
    <w:uiPriority w:val="99"/>
    <w:pPr>
      <w:tabs>
        <w:tab w:val="center" w:pos="4153"/>
        <w:tab w:val="right" w:pos="8306"/>
      </w:tabs>
      <w:snapToGrid w:val="0"/>
      <w:jc w:val="left"/>
    </w:pPr>
    <w:rPr>
      <w:kern w:val="0"/>
      <w:sz w:val="18"/>
      <w:szCs w:val="20"/>
    </w:rPr>
  </w:style>
  <w:style w:type="paragraph" w:styleId="10">
    <w:name w:val="header"/>
    <w:basedOn w:val="1"/>
    <w:link w:val="21"/>
    <w:qFormat/>
    <w:uiPriority w:val="99"/>
    <w:pPr>
      <w:pBdr>
        <w:bottom w:val="thickThinSmallGap" w:color="auto" w:sz="24" w:space="1"/>
      </w:pBdr>
      <w:tabs>
        <w:tab w:val="center" w:pos="4153"/>
        <w:tab w:val="right" w:pos="8306"/>
      </w:tabs>
      <w:snapToGrid w:val="0"/>
      <w:jc w:val="center"/>
    </w:pPr>
    <w:rPr>
      <w:kern w:val="0"/>
      <w:sz w:val="18"/>
      <w:szCs w:val="20"/>
    </w:rPr>
  </w:style>
  <w:style w:type="paragraph" w:styleId="11">
    <w:name w:val="annotation subject"/>
    <w:basedOn w:val="4"/>
    <w:next w:val="4"/>
    <w:link w:val="32"/>
    <w:semiHidden/>
    <w:qFormat/>
    <w:locked/>
    <w:uiPriority w:val="99"/>
    <w:rPr>
      <w:b/>
      <w:bCs/>
    </w:rPr>
  </w:style>
  <w:style w:type="paragraph" w:styleId="12">
    <w:name w:val="Body Text First Indent 2"/>
    <w:basedOn w:val="6"/>
    <w:link w:val="30"/>
    <w:qFormat/>
    <w:locked/>
    <w:uiPriority w:val="99"/>
    <w:pPr>
      <w:ind w:firstLine="420" w:firstLineChars="200"/>
    </w:pPr>
  </w:style>
  <w:style w:type="character" w:styleId="15">
    <w:name w:val="page number"/>
    <w:qFormat/>
    <w:uiPriority w:val="99"/>
    <w:rPr>
      <w:rFonts w:cs="Times New Roman"/>
    </w:rPr>
  </w:style>
  <w:style w:type="character" w:styleId="16">
    <w:name w:val="annotation reference"/>
    <w:qFormat/>
    <w:uiPriority w:val="99"/>
    <w:rPr>
      <w:rFonts w:cs="Times New Roman"/>
      <w:sz w:val="21"/>
    </w:rPr>
  </w:style>
  <w:style w:type="character" w:customStyle="1" w:styleId="17">
    <w:name w:val="正文文本 字符"/>
    <w:link w:val="5"/>
    <w:semiHidden/>
    <w:qFormat/>
    <w:locked/>
    <w:uiPriority w:val="99"/>
    <w:rPr>
      <w:rFonts w:ascii="Times New Roman" w:hAnsi="Times New Roman" w:eastAsia="仿宋_GB2312" w:cs="Times New Roman"/>
      <w:sz w:val="32"/>
    </w:rPr>
  </w:style>
  <w:style w:type="character" w:customStyle="1" w:styleId="18">
    <w:name w:val="正文文本缩进 字符"/>
    <w:link w:val="6"/>
    <w:qFormat/>
    <w:locked/>
    <w:uiPriority w:val="99"/>
    <w:rPr>
      <w:rFonts w:eastAsia="仿宋_GB2312" w:cs="Times New Roman"/>
      <w:kern w:val="2"/>
      <w:sz w:val="32"/>
    </w:rPr>
  </w:style>
  <w:style w:type="character" w:customStyle="1" w:styleId="19">
    <w:name w:val="Plain Text Char"/>
    <w:qFormat/>
    <w:locked/>
    <w:uiPriority w:val="99"/>
    <w:rPr>
      <w:rFonts w:ascii="宋体" w:hAnsi="Courier New" w:cs="Times New Roman"/>
      <w:kern w:val="2"/>
      <w:sz w:val="21"/>
    </w:rPr>
  </w:style>
  <w:style w:type="character" w:customStyle="1" w:styleId="20">
    <w:name w:val="页脚 字符"/>
    <w:link w:val="9"/>
    <w:semiHidden/>
    <w:qFormat/>
    <w:locked/>
    <w:uiPriority w:val="99"/>
    <w:rPr>
      <w:rFonts w:ascii="Times New Roman" w:hAnsi="Times New Roman" w:eastAsia="仿宋_GB2312" w:cs="Times New Roman"/>
      <w:sz w:val="18"/>
    </w:rPr>
  </w:style>
  <w:style w:type="character" w:customStyle="1" w:styleId="21">
    <w:name w:val="页眉 字符"/>
    <w:link w:val="10"/>
    <w:semiHidden/>
    <w:qFormat/>
    <w:locked/>
    <w:uiPriority w:val="99"/>
    <w:rPr>
      <w:rFonts w:ascii="Times New Roman" w:hAnsi="Times New Roman" w:eastAsia="仿宋_GB2312" w:cs="Times New Roman"/>
      <w:sz w:val="18"/>
    </w:rPr>
  </w:style>
  <w:style w:type="paragraph" w:customStyle="1" w:styleId="22">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3">
    <w:name w:val="9"/>
    <w:basedOn w:val="1"/>
    <w:qFormat/>
    <w:uiPriority w:val="99"/>
    <w:pPr>
      <w:spacing w:line="460" w:lineRule="exact"/>
      <w:ind w:firstLine="480" w:firstLineChars="200"/>
    </w:pPr>
    <w:rPr>
      <w:rFonts w:ascii="宋体" w:hAnsi="宋体" w:eastAsia="宋体"/>
      <w:bCs/>
      <w:sz w:val="24"/>
      <w:szCs w:val="24"/>
    </w:rPr>
  </w:style>
  <w:style w:type="character" w:customStyle="1" w:styleId="24">
    <w:name w:val="纯文本 字符"/>
    <w:link w:val="7"/>
    <w:qFormat/>
    <w:locked/>
    <w:uiPriority w:val="99"/>
    <w:rPr>
      <w:rFonts w:ascii="宋体" w:hAnsi="Courier New" w:eastAsia="仿宋_GB2312"/>
      <w:kern w:val="2"/>
      <w:sz w:val="28"/>
    </w:rPr>
  </w:style>
  <w:style w:type="paragraph" w:customStyle="1" w:styleId="25">
    <w:name w:val="正文格式"/>
    <w:link w:val="26"/>
    <w:qFormat/>
    <w:uiPriority w:val="99"/>
    <w:pPr>
      <w:spacing w:line="360" w:lineRule="auto"/>
      <w:ind w:firstLine="200" w:firstLineChars="200"/>
    </w:pPr>
    <w:rPr>
      <w:rFonts w:ascii="宋体" w:hAnsi="Times New Roman" w:eastAsia="宋体" w:cs="Times New Roman"/>
      <w:color w:val="000000"/>
      <w:w w:val="110"/>
      <w:sz w:val="22"/>
      <w:szCs w:val="22"/>
      <w:lang w:val="en-US" w:eastAsia="zh-CN" w:bidi="ar-SA"/>
    </w:rPr>
  </w:style>
  <w:style w:type="character" w:customStyle="1" w:styleId="26">
    <w:name w:val="正文格式 Char Char"/>
    <w:link w:val="25"/>
    <w:qFormat/>
    <w:locked/>
    <w:uiPriority w:val="99"/>
    <w:rPr>
      <w:rFonts w:ascii="宋体"/>
      <w:color w:val="000000"/>
      <w:w w:val="110"/>
      <w:sz w:val="22"/>
    </w:rPr>
  </w:style>
  <w:style w:type="character" w:customStyle="1" w:styleId="27">
    <w:name w:val="正文缩进 字符"/>
    <w:link w:val="3"/>
    <w:qFormat/>
    <w:locked/>
    <w:uiPriority w:val="99"/>
    <w:rPr>
      <w:kern w:val="2"/>
      <w:sz w:val="28"/>
    </w:rPr>
  </w:style>
  <w:style w:type="paragraph" w:customStyle="1" w:styleId="28">
    <w:name w:val="表格内"/>
    <w:basedOn w:val="1"/>
    <w:qFormat/>
    <w:uiPriority w:val="99"/>
    <w:pPr>
      <w:adjustRightInd w:val="0"/>
      <w:spacing w:line="240" w:lineRule="atLeast"/>
      <w:jc w:val="center"/>
      <w:textAlignment w:val="baseline"/>
    </w:pPr>
    <w:rPr>
      <w:rFonts w:ascii="宋体"/>
      <w:kern w:val="0"/>
      <w:sz w:val="28"/>
      <w:szCs w:val="20"/>
    </w:rPr>
  </w:style>
  <w:style w:type="character" w:customStyle="1" w:styleId="29">
    <w:name w:val="15"/>
    <w:qFormat/>
    <w:uiPriority w:val="99"/>
    <w:rPr>
      <w:rFonts w:ascii="Times New Roman" w:hAnsi="Times New Roman"/>
    </w:rPr>
  </w:style>
  <w:style w:type="character" w:customStyle="1" w:styleId="30">
    <w:name w:val="正文首行缩进 2 字符"/>
    <w:link w:val="12"/>
    <w:semiHidden/>
    <w:qFormat/>
    <w:locked/>
    <w:uiPriority w:val="99"/>
    <w:rPr>
      <w:rFonts w:eastAsia="仿宋_GB2312" w:cs="Times New Roman"/>
      <w:kern w:val="2"/>
      <w:sz w:val="32"/>
    </w:rPr>
  </w:style>
  <w:style w:type="character" w:customStyle="1" w:styleId="31">
    <w:name w:val="批注文字 字符"/>
    <w:link w:val="4"/>
    <w:semiHidden/>
    <w:qFormat/>
    <w:locked/>
    <w:uiPriority w:val="99"/>
    <w:rPr>
      <w:rFonts w:eastAsia="仿宋_GB2312" w:cs="Times New Roman"/>
      <w:sz w:val="32"/>
    </w:rPr>
  </w:style>
  <w:style w:type="character" w:customStyle="1" w:styleId="32">
    <w:name w:val="批注主题 字符"/>
    <w:link w:val="11"/>
    <w:semiHidden/>
    <w:qFormat/>
    <w:locked/>
    <w:uiPriority w:val="99"/>
    <w:rPr>
      <w:rFonts w:eastAsia="仿宋_GB2312" w:cs="Times New Roman"/>
      <w:b/>
      <w:sz w:val="32"/>
    </w:rPr>
  </w:style>
  <w:style w:type="character" w:customStyle="1" w:styleId="33">
    <w:name w:val="批注框文本 字符"/>
    <w:link w:val="8"/>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27B2B-5D1C-4922-B827-9FF4B1509D6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432</Words>
  <Characters>2469</Characters>
  <Lines>20</Lines>
  <Paragraphs>5</Paragraphs>
  <TotalTime>13</TotalTime>
  <ScaleCrop>false</ScaleCrop>
  <LinksUpToDate>false</LinksUpToDate>
  <CharactersWithSpaces>2896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2021-09-30T05:47:00Z</dcterms:created>
  <dc:creator>Administrator</dc:creator>
  <cp:lastModifiedBy>love rain</cp:lastModifiedBy>
  <cp:lastPrinted>2021-09-06T11:59:00Z</cp:lastPrinted>
  <dcterms:modified xsi:type="dcterms:W3CDTF">2021-10-11T10:48:06Z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3A9786FA4F9A4992857135472883E4FA</vt:lpwstr>
  </property>
</Properties>
</file>