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rPr>
          <w:color w:val="0000FF"/>
          <w:sz w:val="36"/>
        </w:rPr>
      </w:pPr>
    </w:p>
    <w:p>
      <w:pPr>
        <w:pStyle w:val="2"/>
        <w:rPr>
          <w:color w:val="0000FF"/>
          <w:sz w:val="28"/>
        </w:rPr>
      </w:pPr>
    </w:p>
    <w:p>
      <w:pPr>
        <w:pStyle w:val="2"/>
        <w:spacing w:line="264" w:lineRule="auto"/>
        <w:rPr>
          <w:color w:val="0000FF"/>
          <w:sz w:val="28"/>
        </w:rPr>
      </w:pPr>
    </w:p>
    <w:p/>
    <w:p>
      <w:pPr>
        <w:pStyle w:val="2"/>
      </w:pPr>
    </w:p>
    <w:p>
      <w:pPr>
        <w:spacing w:line="560" w:lineRule="exact"/>
        <w:rPr>
          <w:color w:val="0000FF"/>
          <w:sz w:val="52"/>
        </w:rPr>
      </w:pPr>
      <w:r>
        <w:rPr>
          <w:color w:val="0000FF"/>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212725</wp:posOffset>
                </wp:positionV>
                <wp:extent cx="2948940" cy="501650"/>
                <wp:effectExtent l="4445" t="4445" r="18415" b="8255"/>
                <wp:wrapNone/>
                <wp:docPr id="1" name="文本框 3"/>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2021</w:t>
                            </w:r>
                            <w:r>
                              <w:rPr>
                                <w:rFonts w:hint="eastAsia"/>
                              </w:rPr>
                              <w:t>〕86号</w:t>
                            </w:r>
                          </w:p>
                        </w:txbxContent>
                      </wps:txbx>
                      <wps:bodyPr upright="1"/>
                    </wps:wsp>
                  </a:graphicData>
                </a:graphic>
              </wp:anchor>
            </w:drawing>
          </mc:Choice>
          <mc:Fallback>
            <w:pict>
              <v:shape id="文本框 3" o:spid="_x0000_s1026" o:spt="202" type="#_x0000_t202" style="position:absolute;left:0pt;margin-left:99pt;margin-top:16.75pt;height:39.5pt;width:232.2pt;z-index:251659264;mso-width-relative:page;mso-height-relative:page;" fillcolor="#FFFFFF" filled="t" stroked="t" coordsize="21600,21600" o:gfxdata="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iKv57YAAAACgEAAA8AAAAAAAAAAQAg&#10;AAAAIgAAAGRycy9kb3ducmV2LnhtbFBLAQIUABQAAAAIAIdO4kDOksLJDgIAAEQEAAAOAAAAAAAA&#10;AAEAIAAAACcBAABkcnMvZTJvRG9jLnhtbFBLBQYAAAAABgAGAFkBAACnBQAAAAA=&#10;">
                <v:fill on="t" focussize="0,0"/>
                <v:stroke color="#FFFFFF" joinstyle="miter"/>
                <v:imagedata o:title=""/>
                <o:lock v:ext="edit" aspectratio="f"/>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2021</w:t>
                      </w:r>
                      <w:r>
                        <w:rPr>
                          <w:rFonts w:hint="eastAsia"/>
                        </w:rPr>
                        <w:t>〕86号</w:t>
                      </w:r>
                    </w:p>
                  </w:txbxContent>
                </v:textbox>
              </v:shape>
            </w:pict>
          </mc:Fallback>
        </mc:AlternateContent>
      </w:r>
    </w:p>
    <w:p>
      <w:pPr>
        <w:pStyle w:val="2"/>
        <w:rPr>
          <w:color w:val="auto"/>
        </w:rPr>
      </w:pPr>
    </w:p>
    <w:p>
      <w:pPr>
        <w:adjustRightInd w:val="0"/>
        <w:snapToGrid w:val="0"/>
        <w:spacing w:line="640" w:lineRule="exact"/>
        <w:jc w:val="center"/>
        <w:rPr>
          <w:rFonts w:hint="eastAsia" w:eastAsia="方正小标宋简体"/>
          <w:w w:val="95"/>
          <w:sz w:val="44"/>
          <w:szCs w:val="44"/>
        </w:rPr>
      </w:pPr>
    </w:p>
    <w:p>
      <w:pPr>
        <w:adjustRightInd w:val="0"/>
        <w:snapToGrid w:val="0"/>
        <w:spacing w:line="640" w:lineRule="exact"/>
        <w:jc w:val="center"/>
        <w:rPr>
          <w:rFonts w:eastAsia="方正小标宋简体"/>
          <w:w w:val="95"/>
          <w:sz w:val="44"/>
          <w:szCs w:val="44"/>
          <w:lang w:val="zh-CN"/>
        </w:rPr>
      </w:pPr>
      <w:r>
        <w:rPr>
          <w:rFonts w:hint="eastAsia" w:eastAsia="方正小标宋简体"/>
          <w:w w:val="95"/>
          <w:sz w:val="44"/>
          <w:szCs w:val="44"/>
        </w:rPr>
        <w:t>关于</w:t>
      </w:r>
      <w:r>
        <w:rPr>
          <w:rFonts w:hint="eastAsia" w:eastAsia="方正小标宋简体"/>
          <w:w w:val="95"/>
          <w:sz w:val="44"/>
          <w:szCs w:val="44"/>
          <w:lang w:val="zh-CN"/>
        </w:rPr>
        <w:t>阿拉尔市鑫旺包装材料生产建设项目</w:t>
      </w:r>
    </w:p>
    <w:p>
      <w:pPr>
        <w:adjustRightInd w:val="0"/>
        <w:snapToGrid w:val="0"/>
        <w:spacing w:line="640" w:lineRule="exact"/>
        <w:jc w:val="center"/>
        <w:rPr>
          <w:rFonts w:eastAsia="方正小标宋简体"/>
          <w:w w:val="95"/>
          <w:sz w:val="44"/>
          <w:szCs w:val="44"/>
        </w:rPr>
      </w:pPr>
      <w:r>
        <w:rPr>
          <w:rFonts w:hint="eastAsia" w:eastAsia="方正小标宋简体"/>
          <w:w w:val="95"/>
          <w:sz w:val="44"/>
          <w:szCs w:val="44"/>
          <w:lang w:val="zh-CN"/>
        </w:rPr>
        <w:t>环境影响报告表</w:t>
      </w:r>
      <w:r>
        <w:rPr>
          <w:rFonts w:hint="eastAsia" w:eastAsia="方正小标宋简体"/>
          <w:w w:val="95"/>
          <w:sz w:val="44"/>
          <w:szCs w:val="44"/>
        </w:rPr>
        <w:t>的批复</w:t>
      </w:r>
    </w:p>
    <w:p>
      <w:pPr>
        <w:adjustRightInd w:val="0"/>
        <w:snapToGrid w:val="0"/>
        <w:spacing w:line="560" w:lineRule="exact"/>
      </w:pPr>
    </w:p>
    <w:p>
      <w:pPr>
        <w:keepNext w:val="0"/>
        <w:keepLines w:val="0"/>
        <w:pageBreakBefore w:val="0"/>
        <w:widowControl w:val="0"/>
        <w:kinsoku/>
        <w:wordWrap/>
        <w:overflowPunct/>
        <w:topLinePunct w:val="0"/>
        <w:autoSpaceDE/>
        <w:autoSpaceDN/>
        <w:bidi w:val="0"/>
        <w:adjustRightInd w:val="0"/>
        <w:spacing w:line="540" w:lineRule="exact"/>
        <w:ind w:right="0"/>
        <w:rPr>
          <w:rFonts w:ascii="仿宋_GB2312" w:hAnsi="仿宋" w:cs="仿宋"/>
        </w:rPr>
      </w:pPr>
      <w:r>
        <w:rPr>
          <w:rFonts w:hint="eastAsia" w:ascii="仿宋_GB2312" w:hAnsi="仿宋"/>
          <w:color w:val="000000"/>
        </w:rPr>
        <w:t>阿拉尔市鑫旺包装</w:t>
      </w:r>
      <w:r>
        <w:rPr>
          <w:rFonts w:hint="eastAsia" w:ascii="仿宋_GB2312" w:hAnsi="仿宋"/>
          <w:spacing w:val="-10"/>
        </w:rPr>
        <w:t>有限公司</w:t>
      </w:r>
      <w:r>
        <w:rPr>
          <w:rFonts w:hint="eastAsia" w:ascii="仿宋_GB2312" w:hAnsi="仿宋" w:cs="仿宋"/>
        </w:rPr>
        <w:t>：</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630"/>
        <w:rPr>
          <w:rFonts w:ascii="仿宋_GB2312"/>
        </w:rPr>
      </w:pPr>
      <w:r>
        <w:rPr>
          <w:rFonts w:hint="eastAsia" w:ascii="仿宋_GB2312"/>
        </w:rPr>
        <w:t>你单位报送的《关于送审</w:t>
      </w:r>
      <w:r>
        <w:rPr>
          <w:rFonts w:hint="eastAsia" w:ascii="仿宋_GB2312" w:hAnsi="仿宋"/>
          <w:color w:val="000000"/>
        </w:rPr>
        <w:t>阿拉尔市鑫旺包装材料生产建设</w:t>
      </w:r>
      <w:r>
        <w:rPr>
          <w:rFonts w:hint="eastAsia" w:ascii="仿宋_GB2312" w:hAnsi="仿宋"/>
          <w:spacing w:val="-10"/>
        </w:rPr>
        <w:t>项目环境影响报告表</w:t>
      </w:r>
      <w:r>
        <w:rPr>
          <w:rFonts w:hint="eastAsia" w:ascii="仿宋_GB2312"/>
        </w:rPr>
        <w:t>的请示》及《</w:t>
      </w:r>
      <w:r>
        <w:rPr>
          <w:rFonts w:hint="eastAsia" w:ascii="仿宋_GB2312" w:hAnsi="仿宋"/>
          <w:color w:val="000000"/>
        </w:rPr>
        <w:t>阿拉尔市鑫旺包装材料生产建设</w:t>
      </w:r>
      <w:r>
        <w:rPr>
          <w:rFonts w:hint="eastAsia" w:ascii="仿宋_GB2312" w:hAnsi="仿宋"/>
          <w:spacing w:val="-10"/>
        </w:rPr>
        <w:t>项目环境影响报告表</w:t>
      </w:r>
      <w:r>
        <w:rPr>
          <w:rFonts w:hint="eastAsia" w:ascii="仿宋_GB2312"/>
        </w:rPr>
        <w:t>》（以下简称“报告表”）收悉。经专家审查和研究，现批复如下：</w:t>
      </w:r>
    </w:p>
    <w:p>
      <w:pPr>
        <w:keepNext w:val="0"/>
        <w:keepLines w:val="0"/>
        <w:pageBreakBefore w:val="0"/>
        <w:widowControl w:val="0"/>
        <w:kinsoku/>
        <w:wordWrap/>
        <w:overflowPunct/>
        <w:topLinePunct w:val="0"/>
        <w:autoSpaceDE/>
        <w:autoSpaceDN/>
        <w:bidi w:val="0"/>
        <w:spacing w:line="540" w:lineRule="exact"/>
        <w:ind w:right="0" w:firstLine="610" w:firstLineChars="200"/>
        <w:rPr>
          <w:rFonts w:ascii="仿宋_GB2312"/>
        </w:rPr>
      </w:pPr>
      <w:r>
        <w:rPr>
          <w:rFonts w:hint="eastAsia" w:ascii="仿宋_GB2312"/>
        </w:rPr>
        <w:t>一、该项目</w:t>
      </w:r>
      <w:r>
        <w:rPr>
          <w:rFonts w:hint="eastAsia" w:ascii="仿宋_GB2312" w:hAnsi="仿宋"/>
        </w:rPr>
        <w:t>位于十二团九连S210线阿和公路段9.3千米处原昌盛果业场地内，</w:t>
      </w:r>
      <w:r>
        <w:rPr>
          <w:rFonts w:hint="eastAsia" w:ascii="仿宋_GB2312" w:hAnsi="仿宋"/>
          <w:color w:val="000000"/>
        </w:rPr>
        <w:t>东侧为农田（一般耕地）；南侧为农田（园地），隔农田直线距离约100米处为昌平油脂厂（目前处于停产状态）；西侧为S210线，隔路为农田（一般耕地）；北侧为空地。厂址中心地理位置坐标为：东经81°14′9.175″、北纬40°27′59.046</w:t>
      </w:r>
      <w:r>
        <w:rPr>
          <w:rFonts w:hint="eastAsia" w:ascii="仿宋_GB2312" w:hAnsi="仿宋"/>
        </w:rPr>
        <w:t>″</w:t>
      </w:r>
      <w:r>
        <w:rPr>
          <w:rFonts w:hint="eastAsia" w:ascii="仿宋_GB2312"/>
        </w:rPr>
        <w:t>。</w:t>
      </w:r>
      <w:r>
        <w:rPr>
          <w:rFonts w:hint="eastAsia" w:ascii="仿宋_GB2312" w:hAnsi="仿宋"/>
          <w:color w:val="000000"/>
        </w:rPr>
        <w:t>项</w:t>
      </w:r>
      <w:r>
        <w:rPr>
          <w:rFonts w:hint="eastAsia" w:ascii="仿宋_GB2312"/>
        </w:rPr>
        <w:t>目总占地面积48000平方米，</w:t>
      </w:r>
      <w:r>
        <w:rPr>
          <w:rFonts w:hint="eastAsia" w:ascii="仿宋_GB2312" w:hAnsi="仿宋"/>
          <w:color w:val="000000"/>
        </w:rPr>
        <w:t>租赁原昌盛果业的已建的厂房，新建5条塑料发泡网套生产线，</w:t>
      </w:r>
      <w:r>
        <w:rPr>
          <w:rFonts w:hint="eastAsia" w:ascii="仿宋_GB2312" w:hAnsi="仿宋"/>
        </w:rPr>
        <w:t>同时配套建设辅助工程、配套工程、公用工程和环保工程</w:t>
      </w:r>
      <w:r>
        <w:rPr>
          <w:rFonts w:hint="eastAsia" w:ascii="仿宋_GB2312"/>
        </w:rPr>
        <w:t>。项目建成后年产500吨</w:t>
      </w:r>
      <w:r>
        <w:rPr>
          <w:rFonts w:hint="eastAsia" w:ascii="仿宋_GB2312" w:hAnsi="仿宋"/>
        </w:rPr>
        <w:t>塑料发泡网套。</w:t>
      </w:r>
      <w:r>
        <w:rPr>
          <w:rFonts w:hint="eastAsia" w:ascii="仿宋_GB2312"/>
        </w:rPr>
        <w:t>项目总投资</w:t>
      </w:r>
      <w:r>
        <w:rPr>
          <w:rFonts w:hint="eastAsia" w:ascii="仿宋_GB2312" w:hAnsi="仿宋"/>
          <w:color w:val="000000"/>
        </w:rPr>
        <w:t>200万元，其中环保投资29万元，占总投资的14.5％</w:t>
      </w:r>
      <w:r>
        <w:rPr>
          <w:rFonts w:hint="eastAsia" w:ascii="仿宋_GB2312"/>
        </w:rPr>
        <w:t>。</w:t>
      </w:r>
    </w:p>
    <w:p>
      <w:pPr>
        <w:keepNext w:val="0"/>
        <w:keepLines w:val="0"/>
        <w:pageBreakBefore w:val="0"/>
        <w:widowControl w:val="0"/>
        <w:kinsoku/>
        <w:wordWrap/>
        <w:overflowPunct/>
        <w:topLinePunct w:val="0"/>
        <w:autoSpaceDE/>
        <w:autoSpaceDN/>
        <w:bidi w:val="0"/>
        <w:spacing w:line="540" w:lineRule="exact"/>
        <w:ind w:right="0" w:firstLine="610" w:firstLineChars="200"/>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二、</w:t>
      </w:r>
      <w:r>
        <w:rPr>
          <w:rFonts w:hint="eastAsia" w:ascii="仿宋_GB2312"/>
        </w:rPr>
        <w:t>该项目为塑料制品加工项目,</w:t>
      </w:r>
      <w:r>
        <w:rPr>
          <w:rFonts w:hint="eastAsia" w:ascii="仿宋_GB2312"/>
          <w:color w:val="000000" w:themeColor="text1"/>
          <w14:textFill>
            <w14:solidFill>
              <w14:schemeClr w14:val="tx1"/>
            </w14:solidFill>
          </w14:textFill>
        </w:rPr>
        <w:t>塑料发泡网套</w:t>
      </w:r>
      <w:r>
        <w:rPr>
          <w:rFonts w:hint="eastAsia" w:ascii="仿宋_GB2312"/>
        </w:rPr>
        <w:t>工艺流程为:</w:t>
      </w:r>
      <w:r>
        <w:rPr>
          <w:rFonts w:hint="eastAsia" w:ascii="仿宋_GB2312" w:hAnsi="仿宋"/>
          <w:color w:val="000000"/>
        </w:rPr>
        <w:t>外购的高密度聚乙烯树脂颗粒与滑石粉进行人工称重配比后，加入混料机内进行搅拌混合，将充分搅拌的混合物料送至EPE塑料发泡网套挤出机组进行发泡、挤出、冷却、牵引、切割工序，最终经检验合格后送入产品暂存棚内暂存待售,</w:t>
      </w:r>
      <w:r>
        <w:rPr>
          <w:rFonts w:hint="eastAsia" w:ascii="仿宋_GB2312" w:hAnsi="仿宋_GB2312" w:cs="仿宋_GB2312"/>
        </w:rPr>
        <w:t>项目所用原辅料均为外购，不涉及废旧塑料回收利用。</w:t>
      </w:r>
      <w:r>
        <w:rPr>
          <w:rFonts w:hint="eastAsia" w:ascii="仿宋_GB2312"/>
        </w:rPr>
        <w:t>我局原</w:t>
      </w:r>
      <w:r>
        <w:rPr>
          <w:rFonts w:hint="eastAsia" w:ascii="仿宋_GB2312"/>
          <w:color w:val="000000" w:themeColor="text1"/>
          <w14:textFill>
            <w14:solidFill>
              <w14:schemeClr w14:val="tx1"/>
            </w14:solidFill>
          </w14:textFill>
        </w:rPr>
        <w:t>则同意报告表的结论。项目经投资主管部门依法审批后，你单位须严格按照报告表所列建设项目的性质、规模、地点、工艺和环境保护对策措施实施项目建设和运营。</w:t>
      </w:r>
    </w:p>
    <w:p>
      <w:pPr>
        <w:keepNext w:val="0"/>
        <w:keepLines w:val="0"/>
        <w:pageBreakBefore w:val="0"/>
        <w:widowControl w:val="0"/>
        <w:kinsoku/>
        <w:wordWrap/>
        <w:overflowPunct/>
        <w:topLinePunct w:val="0"/>
        <w:autoSpaceDE/>
        <w:autoSpaceDN/>
        <w:bidi w:val="0"/>
        <w:snapToGrid w:val="0"/>
        <w:spacing w:line="540" w:lineRule="exact"/>
        <w:ind w:right="0" w:firstLine="610" w:firstLineChars="200"/>
        <w:rPr>
          <w:rFonts w:ascii="仿宋_GB2312"/>
        </w:rPr>
      </w:pPr>
      <w:r>
        <w:rPr>
          <w:rFonts w:hint="eastAsia" w:ascii="仿宋_GB2312"/>
        </w:rPr>
        <w:t>三、你单位在</w:t>
      </w:r>
      <w:r>
        <w:t>项目建设和</w:t>
      </w:r>
      <w:r>
        <w:rPr>
          <w:rFonts w:hint="eastAsia" w:ascii="仿宋_GB2312"/>
        </w:rPr>
        <w:t>运营中，应严格执行有关环境质量标准和污染物排放标准，认真、全面落实报告表提出的各项环保对策措施要求，确保污染物达标排放和各环境敏感点满足相应功能要求，加强生态保护工作，重点做好以下工作：</w:t>
      </w:r>
    </w:p>
    <w:p>
      <w:pPr>
        <w:keepNext w:val="0"/>
        <w:keepLines w:val="0"/>
        <w:pageBreakBefore w:val="0"/>
        <w:widowControl w:val="0"/>
        <w:kinsoku/>
        <w:wordWrap/>
        <w:overflowPunct/>
        <w:topLinePunct w:val="0"/>
        <w:autoSpaceDE/>
        <w:autoSpaceDN/>
        <w:bidi w:val="0"/>
        <w:snapToGrid w:val="0"/>
        <w:spacing w:line="540" w:lineRule="exact"/>
        <w:ind w:right="0" w:firstLine="610" w:firstLineChars="200"/>
        <w:rPr>
          <w:rFonts w:ascii="仿宋_GB2312"/>
        </w:rPr>
      </w:pPr>
      <w:r>
        <w:rPr>
          <w:rFonts w:hint="eastAsia" w:ascii="仿宋_GB2312"/>
        </w:rPr>
        <w:t>（一）认真落实施工期环境保护措施。做好施工过程中的降噪、防尘措施、施工固废清理和水土保持、防沙治沙等生态保护措施，妥善处置施工废弃物、生活垃圾及生活污水。</w:t>
      </w:r>
    </w:p>
    <w:p>
      <w:pPr>
        <w:keepNext w:val="0"/>
        <w:keepLines w:val="0"/>
        <w:pageBreakBefore w:val="0"/>
        <w:widowControl w:val="0"/>
        <w:kinsoku/>
        <w:wordWrap/>
        <w:overflowPunct/>
        <w:topLinePunct w:val="0"/>
        <w:autoSpaceDE/>
        <w:autoSpaceDN/>
        <w:bidi w:val="0"/>
        <w:adjustRightInd w:val="0"/>
        <w:spacing w:line="540" w:lineRule="exact"/>
        <w:ind w:right="0" w:firstLine="610" w:firstLineChars="200"/>
        <w:rPr>
          <w:rFonts w:ascii="仿宋_GB2312" w:hAnsi="仿宋"/>
          <w:bCs/>
          <w:color w:val="000000"/>
          <w:szCs w:val="22"/>
        </w:rPr>
      </w:pPr>
      <w:r>
        <w:rPr>
          <w:rFonts w:hint="eastAsia" w:ascii="仿宋_GB2312"/>
        </w:rPr>
        <w:t>（二）严格落实大气污染防治措施。该</w:t>
      </w:r>
      <w:r>
        <w:rPr>
          <w:rFonts w:hint="eastAsia" w:ascii="仿宋_GB2312" w:hAnsi="仿宋" w:cs="仿宋"/>
        </w:rPr>
        <w:t>项目运营期的废气</w:t>
      </w:r>
      <w:r>
        <w:rPr>
          <w:rFonts w:hint="eastAsia" w:ascii="仿宋_GB2312" w:hAnsi="仿宋"/>
          <w:color w:val="000000"/>
        </w:rPr>
        <w:t>主要为塑料发泡网套生产线在发泡、挤出成型工序产生的</w:t>
      </w:r>
      <w:r>
        <w:rPr>
          <w:rFonts w:hint="eastAsia" w:ascii="仿宋_GB2312" w:hAnsi="仿宋"/>
          <w:bCs/>
          <w:color w:val="000000"/>
        </w:rPr>
        <w:t>有机废气；滑石粉在配比上料、搅拌混料工序产生的含尘废气及</w:t>
      </w:r>
      <w:r>
        <w:rPr>
          <w:rFonts w:hint="eastAsia" w:ascii="仿宋_GB2312" w:hAnsi="仿宋"/>
          <w:color w:val="000000"/>
        </w:rPr>
        <w:t>食堂油烟。</w:t>
      </w:r>
      <w:r>
        <w:rPr>
          <w:rFonts w:hint="eastAsia" w:ascii="仿宋_GB2312" w:hAnsi="仿宋"/>
          <w:bCs/>
          <w:color w:val="000000"/>
        </w:rPr>
        <w:t>发泡和挤出成型工序中产生的有机废气（以非甲烷总烃计），通过在5套EPE塑料发泡网套挤出机组正上方各设置1个集气罩进行收集，收集后的废气由风机引入1套二级活性炭吸附装置处理后，通过15米高排气筒排放，废气中非甲烷总烃排放浓度须满足《合成树脂工业污染物排放标准》（GB31572-2015）中表4大气污染物排放限值要求。</w:t>
      </w:r>
      <w:r>
        <w:rPr>
          <w:rFonts w:hint="eastAsia" w:ascii="仿宋_GB2312" w:hAnsi="仿宋"/>
          <w:bCs/>
          <w:color w:val="000000"/>
          <w:szCs w:val="22"/>
        </w:rPr>
        <w:t>食堂油烟经油烟净化器处理后由专用烟道送至楼顶排放。油烟排放浓度须满足《饮食业油烟排放标准（试行）》（GB18483-2001）中表2最高允许排放浓度的标准限值要求。</w:t>
      </w:r>
      <w:r>
        <w:rPr>
          <w:rFonts w:hint="eastAsia" w:ascii="仿宋_GB2312" w:hAnsi="仿宋"/>
          <w:bCs/>
          <w:color w:val="000000"/>
        </w:rPr>
        <w:t>加强厂房封闭性，采取封闭投料口、卸料口及输送设备措施，防止粉尘和非甲烷总烃的逸散。确保厂界颗粒物、非甲烷总烃排放浓度满足《合成树脂工业污染物排放标准》中表9企业边界大气污染物浓度限值要求。厂内无组织非甲烷总烃排放浓度满足《挥发性有机物无组织排放控制标准》（GB37822-2019）中表A.1厂区内VOCs无组织排放限制要求。</w:t>
      </w:r>
    </w:p>
    <w:p>
      <w:pPr>
        <w:keepNext w:val="0"/>
        <w:keepLines w:val="0"/>
        <w:pageBreakBefore w:val="0"/>
        <w:widowControl w:val="0"/>
        <w:kinsoku/>
        <w:wordWrap/>
        <w:overflowPunct/>
        <w:topLinePunct w:val="0"/>
        <w:autoSpaceDE/>
        <w:autoSpaceDN/>
        <w:bidi w:val="0"/>
        <w:adjustRightInd w:val="0"/>
        <w:spacing w:line="540" w:lineRule="exact"/>
        <w:ind w:right="0" w:firstLine="610" w:firstLineChars="200"/>
        <w:rPr>
          <w:rFonts w:ascii="仿宋_GB2312" w:hAnsi="仿宋"/>
          <w:color w:val="000000"/>
        </w:rPr>
      </w:pPr>
      <w:r>
        <w:rPr>
          <w:rFonts w:hint="eastAsia" w:ascii="仿宋_GB2312" w:hAnsi="宋体"/>
        </w:rPr>
        <w:t>（三）严格落实水污染防治措施。项目运营期废水</w:t>
      </w:r>
      <w:r>
        <w:rPr>
          <w:rFonts w:hint="eastAsia" w:ascii="仿宋_GB2312" w:hAnsi="仿宋"/>
          <w:color w:val="000000"/>
        </w:rPr>
        <w:t>主要为生产废水和生活污水。生产废水为冷却系统补充用水，冷却系统用水大部分循环使用，小部分蒸发损耗，不外排；生活污水排入厂区内化粪池进行处理，出水达到《污水综合排放标准》（GB8979-1996）表4污染物最高允许排放浓度三级标准后，通过吸污车拉运至阿拉尔市污水处理厂处理。</w:t>
      </w:r>
    </w:p>
    <w:p>
      <w:pPr>
        <w:keepNext w:val="0"/>
        <w:keepLines w:val="0"/>
        <w:pageBreakBefore w:val="0"/>
        <w:widowControl w:val="0"/>
        <w:kinsoku/>
        <w:wordWrap/>
        <w:overflowPunct/>
        <w:topLinePunct w:val="0"/>
        <w:autoSpaceDE/>
        <w:autoSpaceDN/>
        <w:bidi w:val="0"/>
        <w:adjustRightInd w:val="0"/>
        <w:spacing w:line="540" w:lineRule="exact"/>
        <w:ind w:right="0" w:firstLine="610" w:firstLineChars="200"/>
        <w:rPr>
          <w:rFonts w:ascii="仿宋_GB2312" w:hAnsi="仿宋"/>
          <w:color w:val="000000"/>
        </w:rPr>
      </w:pPr>
      <w:r>
        <w:rPr>
          <w:rFonts w:hint="eastAsia" w:ascii="仿宋_GB2312"/>
        </w:rPr>
        <w:t>（四）严格落实噪声污染防治措施。该项目</w:t>
      </w:r>
      <w:r>
        <w:rPr>
          <w:rFonts w:hint="eastAsia" w:ascii="仿宋_GB2312" w:hAnsi="仿宋"/>
          <w:color w:val="000000"/>
        </w:rPr>
        <w:t>噪声</w:t>
      </w:r>
      <w:r>
        <w:rPr>
          <w:rFonts w:hint="eastAsia" w:ascii="仿宋_GB2312"/>
        </w:rPr>
        <w:t>源</w:t>
      </w:r>
      <w:r>
        <w:rPr>
          <w:rFonts w:hint="eastAsia" w:ascii="仿宋_GB2312" w:hAnsi="仿宋"/>
          <w:color w:val="000000"/>
        </w:rPr>
        <w:t>主要为混料机、EPE塑料发泡网套挤出机组、空压机、打包机、水泵等机械设备</w:t>
      </w:r>
      <w:r>
        <w:rPr>
          <w:rFonts w:hint="eastAsia" w:ascii="仿宋_GB2312"/>
        </w:rPr>
        <w:t>运转噪声</w:t>
      </w:r>
      <w:r>
        <w:rPr>
          <w:rFonts w:hint="eastAsia" w:ascii="仿宋_GB2312" w:hAnsi="仿宋"/>
          <w:color w:val="000000"/>
        </w:rPr>
        <w:t>。选用低噪声设备，采取基础减震、合理布局、建筑隔声、加强设备维护保养、厂区绿化等降噪措施。采取上述措施后，厂界昼间、夜间噪声值满足《工业企业厂界环境噪声排放标准》（GB12348-2008）中2类标准要求。</w:t>
      </w:r>
    </w:p>
    <w:p>
      <w:pPr>
        <w:keepNext w:val="0"/>
        <w:keepLines w:val="0"/>
        <w:pageBreakBefore w:val="0"/>
        <w:widowControl w:val="0"/>
        <w:kinsoku/>
        <w:wordWrap/>
        <w:overflowPunct/>
        <w:topLinePunct w:val="0"/>
        <w:autoSpaceDE/>
        <w:autoSpaceDN/>
        <w:bidi w:val="0"/>
        <w:adjustRightInd w:val="0"/>
        <w:spacing w:line="540" w:lineRule="exact"/>
        <w:ind w:right="0" w:firstLine="610" w:firstLineChars="200"/>
        <w:rPr>
          <w:rFonts w:ascii="仿宋_GB2312" w:hAnsi="仿宋"/>
          <w:color w:val="000000"/>
        </w:rPr>
      </w:pPr>
      <w:r>
        <w:rPr>
          <w:rFonts w:hint="eastAsia" w:ascii="仿宋_GB2312"/>
        </w:rPr>
        <w:t>（五）严格落实固体废物污染防治措施。</w:t>
      </w:r>
      <w:r>
        <w:rPr>
          <w:rFonts w:hint="eastAsia" w:ascii="仿宋_GB2312" w:hAnsi="仿宋"/>
          <w:color w:val="000000"/>
        </w:rPr>
        <w:t>项目产生的</w:t>
      </w:r>
      <w:r>
        <w:rPr>
          <w:rFonts w:hint="eastAsia" w:ascii="仿宋_GB2312"/>
        </w:rPr>
        <w:t>固体废物主要为</w:t>
      </w:r>
      <w:r>
        <w:rPr>
          <w:rFonts w:hint="eastAsia" w:ascii="仿宋_GB2312" w:hAnsi="仿宋"/>
          <w:color w:val="000000"/>
        </w:rPr>
        <w:t>废活性炭、废润滑油、废润滑油桶、废包装袋、边角料、不合格品及生活垃圾。其中，废活性炭、废润滑油、废润滑油桶属于危险废物，</w:t>
      </w:r>
      <w:r>
        <w:rPr>
          <w:rFonts w:hint="eastAsia" w:ascii="仿宋_GB2312" w:hAnsi="仿宋"/>
        </w:rPr>
        <w:t>定期交由具备相应危险废物处置资质的单位处置，</w:t>
      </w:r>
      <w:r>
        <w:rPr>
          <w:rFonts w:hint="eastAsia" w:ascii="仿宋_GB2312" w:hAnsi="仿宋_GB2312" w:cs="仿宋_GB2312"/>
        </w:rPr>
        <w:t>危险废物暂存间须严格按照《危险废物贮存污染控制标准》（GB18597-2001）及2013年修改单中的相关要求进行建设和管理</w:t>
      </w:r>
      <w:r>
        <w:rPr>
          <w:rFonts w:hint="eastAsia" w:ascii="仿宋_GB2312" w:hAnsi="仿宋"/>
          <w:color w:val="000000"/>
        </w:rPr>
        <w:t>；废包装袋、边角料、不合格品属于一般工业固体废物，废包装袋集中收集后外售当地废旧物资回收单位，边角料和不合格品集中收集后外售当地塑料生产企业用作生产原料；生活垃圾集中收集后，由环卫部门定期清运处理。</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610" w:firstLineChars="200"/>
        <w:textAlignment w:val="baseline"/>
        <w:rPr>
          <w:rFonts w:ascii="仿宋_GB2312"/>
        </w:rPr>
      </w:pPr>
      <w:r>
        <w:rPr>
          <w:rFonts w:hint="eastAsia" w:ascii="仿宋_GB2312"/>
        </w:rPr>
        <w:t>（六）加强项目环境风险防范。建立严格的环境风险管理制度，认真落实报告表提出的各项风险防范措施；做好环境风险应急预案的编制、评估和备案工作；定期开展突发环境事件应急演练，及时对环境应急预案进行完善</w:t>
      </w:r>
      <w:r>
        <w:rPr>
          <w:rFonts w:hint="eastAsia" w:ascii="仿宋_GB2312" w:hAnsi="仿宋" w:cs="仿宋"/>
        </w:rPr>
        <w:t>。</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610" w:firstLineChars="200"/>
        <w:rPr>
          <w:rFonts w:ascii="仿宋_GB2312"/>
        </w:rPr>
      </w:pPr>
      <w:r>
        <w:rPr>
          <w:rFonts w:hint="eastAsia" w:ascii="仿宋_GB2312"/>
        </w:rPr>
        <w:t>四、你单位须严格执行环保“三同时”制度，建设项目竣工后，建设单位应当按照国务院环境保护行政主管部门规定的标准和程序，对配套建设的环境保护设施进行验收，编制验收报告，验收报告编制完成后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rPr>
        <w:t>5</w:t>
      </w:r>
      <w:r>
        <w:rPr>
          <w:rFonts w:hint="eastAsia" w:ascii="仿宋_GB2312"/>
        </w:rPr>
        <w:t>个工作日内在相关网站进行公开，公示期限不得少于</w:t>
      </w:r>
      <w:r>
        <w:rPr>
          <w:rFonts w:ascii="仿宋_GB2312"/>
        </w:rPr>
        <w:t>20</w:t>
      </w:r>
      <w:r>
        <w:rPr>
          <w:rFonts w:hint="eastAsia" w:ascii="仿宋_GB2312"/>
        </w:rPr>
        <w:t>个工作日，并向我局报送相关信息；验收报告公示期满后</w:t>
      </w:r>
      <w:r>
        <w:rPr>
          <w:rFonts w:ascii="仿宋_GB2312"/>
        </w:rPr>
        <w:t>5</w:t>
      </w:r>
      <w:r>
        <w:rPr>
          <w:rFonts w:hint="eastAsia" w:ascii="仿宋_GB2312"/>
        </w:rPr>
        <w:t>个工作日内，建设单位应当登录“全国建设项目竣工环境保护验收信息平台”（网址为</w:t>
      </w:r>
      <w:r>
        <w:rPr>
          <w:rFonts w:ascii="仿宋_GB2312"/>
        </w:rPr>
        <w:t>http://114.251.10.205</w:t>
      </w:r>
      <w:r>
        <w:rPr>
          <w:rFonts w:hint="eastAsia" w:ascii="仿宋_GB2312"/>
        </w:rPr>
        <w:t>），填报建设项目基本信息、环境保护设施验收情况等相关信息。</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630"/>
        <w:rPr>
          <w:rFonts w:ascii="仿宋_GB2312"/>
        </w:rPr>
      </w:pPr>
      <w:r>
        <w:rPr>
          <w:rFonts w:hint="eastAsia" w:ascii="仿宋_GB2312"/>
        </w:rPr>
        <w:t>五、你单位须严格按照《排污许可证管理暂行规定》要求，在投入生产或使用并产生实际排污行为之前申请领取排污许可证或进行排污登记。</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610" w:firstLineChars="200"/>
        <w:rPr>
          <w:rFonts w:ascii="仿宋_GB2312"/>
        </w:rPr>
      </w:pPr>
      <w:r>
        <w:rPr>
          <w:rFonts w:hint="eastAsia" w:ascii="仿宋_GB2312"/>
        </w:rPr>
        <w:t>六、根据《中华人民共和国环境影响评价法》等相关环保法律法规的规定，若项目性质、规模、地点、采用的防治污染、防止生态破坏的措施等发生重大变化的，应依法重新报批环评文件。自批准之日起</w:t>
      </w:r>
      <w:r>
        <w:rPr>
          <w:rFonts w:ascii="仿宋_GB2312"/>
        </w:rPr>
        <w:t>5</w:t>
      </w:r>
      <w:r>
        <w:rPr>
          <w:rFonts w:hint="eastAsia" w:ascii="仿宋_GB2312"/>
        </w:rPr>
        <w:t>年内未开工建设的，其环评文件应当报我局重新审核。在项目建设、运行过程中产生不符合经审批的环评文件情形的，应依法重新办理相关环保手续。</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610" w:firstLineChars="200"/>
        <w:rPr>
          <w:rFonts w:ascii="仿宋_GB2312"/>
          <w:kern w:val="0"/>
        </w:rPr>
      </w:pPr>
      <w:r>
        <w:rPr>
          <w:rFonts w:hint="eastAsia" w:ascii="仿宋_GB2312"/>
        </w:rPr>
        <w:t>七、</w:t>
      </w:r>
      <w:r>
        <w:rPr>
          <w:rFonts w:hint="eastAsia" w:ascii="仿宋_GB2312" w:hAnsi="Helvetica" w:cs="Helvetica"/>
        </w:rPr>
        <w:t>十二团</w:t>
      </w:r>
      <w:r>
        <w:rPr>
          <w:rFonts w:hint="eastAsia" w:ascii="仿宋_GB2312" w:hAnsi="仿宋_GB2312" w:cs="仿宋_GB2312"/>
        </w:rPr>
        <w:t>按照《关于印发</w:t>
      </w:r>
      <w:r>
        <w:rPr>
          <w:rFonts w:ascii="仿宋_GB2312" w:hAnsi="仿宋_GB2312" w:cs="仿宋_GB2312"/>
        </w:rPr>
        <w:t>&lt;</w:t>
      </w:r>
      <w:r>
        <w:rPr>
          <w:rFonts w:hint="eastAsia" w:ascii="仿宋_GB2312" w:hAnsi="仿宋_GB2312" w:cs="仿宋_GB2312"/>
        </w:rPr>
        <w:t>第一师阿拉尔市生态环境保护工作职责暂行规定（试行）</w:t>
      </w:r>
      <w:r>
        <w:rPr>
          <w:rFonts w:ascii="仿宋_GB2312" w:hAnsi="仿宋_GB2312" w:cs="仿宋_GB2312"/>
        </w:rPr>
        <w:t>&gt;</w:t>
      </w:r>
      <w:r>
        <w:rPr>
          <w:rFonts w:hint="eastAsia" w:ascii="仿宋_GB2312" w:hAnsi="仿宋_GB2312" w:cs="仿宋_GB2312"/>
        </w:rPr>
        <w:t>的通知》（师市环委办发〔</w:t>
      </w:r>
      <w:r>
        <w:rPr>
          <w:rFonts w:ascii="仿宋_GB2312" w:hAnsi="仿宋_GB2312" w:cs="仿宋_GB2312"/>
        </w:rPr>
        <w:t>2020</w:t>
      </w:r>
      <w:r>
        <w:rPr>
          <w:rFonts w:hint="eastAsia" w:ascii="仿宋_GB2312" w:hAnsi="仿宋_GB2312" w:cs="仿宋_GB2312"/>
        </w:rPr>
        <w:t>〕</w:t>
      </w:r>
      <w:r>
        <w:rPr>
          <w:rFonts w:ascii="仿宋_GB2312" w:hAnsi="仿宋_GB2312" w:cs="仿宋_GB2312"/>
        </w:rPr>
        <w:t>1</w:t>
      </w:r>
      <w:r>
        <w:rPr>
          <w:rFonts w:hint="eastAsia" w:ascii="仿宋_GB2312" w:hAnsi="仿宋_GB2312" w:cs="仿宋_GB2312"/>
        </w:rPr>
        <w:t>号）要求</w:t>
      </w:r>
      <w:r>
        <w:rPr>
          <w:rFonts w:hint="eastAsia" w:ascii="仿宋_GB2312" w:hAnsi="仿宋_GB2312"/>
        </w:rPr>
        <w:t>，做好该项目环境监管</w:t>
      </w:r>
      <w:r>
        <w:rPr>
          <w:rFonts w:hint="eastAsia" w:ascii="仿宋_GB2312"/>
        </w:rPr>
        <w:t>工作，师市生态环境综合行政执法支队做好该项目的抽查日常监督管理工作。</w:t>
      </w:r>
    </w:p>
    <w:p>
      <w:pPr>
        <w:keepNext w:val="0"/>
        <w:keepLines w:val="0"/>
        <w:pageBreakBefore w:val="0"/>
        <w:widowControl w:val="0"/>
        <w:kinsoku/>
        <w:wordWrap/>
        <w:overflowPunct/>
        <w:topLinePunct w:val="0"/>
        <w:autoSpaceDE/>
        <w:autoSpaceDN/>
        <w:bidi w:val="0"/>
        <w:adjustRightInd w:val="0"/>
        <w:snapToGrid w:val="0"/>
        <w:spacing w:line="540" w:lineRule="exact"/>
        <w:ind w:right="0" w:firstLine="5054" w:firstLineChars="1657"/>
        <w:rPr>
          <w:rFonts w:ascii="仿宋_GB2312" w:cs="仿宋_GB2312"/>
          <w:kern w:val="0"/>
        </w:rPr>
      </w:pPr>
    </w:p>
    <w:p>
      <w:pPr>
        <w:keepNext w:val="0"/>
        <w:keepLines w:val="0"/>
        <w:pageBreakBefore w:val="0"/>
        <w:widowControl w:val="0"/>
        <w:kinsoku/>
        <w:wordWrap/>
        <w:overflowPunct/>
        <w:topLinePunct w:val="0"/>
        <w:autoSpaceDE/>
        <w:autoSpaceDN/>
        <w:bidi w:val="0"/>
        <w:adjustRightInd w:val="0"/>
        <w:snapToGrid w:val="0"/>
        <w:spacing w:line="540" w:lineRule="exact"/>
        <w:ind w:right="0" w:firstLine="5054" w:firstLineChars="1657"/>
        <w:rPr>
          <w:rFonts w:ascii="仿宋_GB2312" w:cs="仿宋_GB2312"/>
          <w:kern w:val="0"/>
        </w:rPr>
      </w:pPr>
    </w:p>
    <w:p>
      <w:pPr>
        <w:keepNext w:val="0"/>
        <w:keepLines w:val="0"/>
        <w:pageBreakBefore w:val="0"/>
        <w:widowControl w:val="0"/>
        <w:kinsoku/>
        <w:wordWrap/>
        <w:overflowPunct/>
        <w:topLinePunct w:val="0"/>
        <w:autoSpaceDE/>
        <w:autoSpaceDN/>
        <w:bidi w:val="0"/>
        <w:adjustRightInd w:val="0"/>
        <w:snapToGrid w:val="0"/>
        <w:spacing w:line="540" w:lineRule="exact"/>
        <w:ind w:right="0" w:firstLine="5054" w:firstLineChars="1657"/>
        <w:rPr>
          <w:rFonts w:ascii="仿宋_GB2312"/>
          <w:kern w:val="0"/>
        </w:rPr>
      </w:pPr>
      <w:r>
        <w:rPr>
          <w:rFonts w:hint="eastAsia" w:ascii="仿宋_GB2312" w:cs="仿宋_GB2312"/>
          <w:kern w:val="0"/>
        </w:rPr>
        <w:t>第一师阿拉尔市生态环境局</w:t>
      </w:r>
    </w:p>
    <w:p>
      <w:pPr>
        <w:keepNext w:val="0"/>
        <w:keepLines w:val="0"/>
        <w:pageBreakBefore w:val="0"/>
        <w:widowControl w:val="0"/>
        <w:kinsoku/>
        <w:wordWrap/>
        <w:overflowPunct/>
        <w:topLinePunct w:val="0"/>
        <w:autoSpaceDE/>
        <w:autoSpaceDN/>
        <w:bidi w:val="0"/>
        <w:spacing w:line="540" w:lineRule="exact"/>
        <w:ind w:right="0"/>
      </w:pPr>
      <w:r>
        <w:rPr>
          <w:rFonts w:ascii="仿宋_GB2312"/>
          <w:kern w:val="0"/>
        </w:rPr>
        <w:t xml:space="preserve">                                      2021</w:t>
      </w:r>
      <w:r>
        <w:rPr>
          <w:rFonts w:hint="eastAsia" w:ascii="仿宋_GB2312"/>
          <w:kern w:val="0"/>
        </w:rPr>
        <w:t>年</w:t>
      </w:r>
      <w:r>
        <w:rPr>
          <w:rFonts w:hint="eastAsia" w:ascii="仿宋_GB2312"/>
          <w:kern w:val="0"/>
          <w:lang w:val="en-US" w:eastAsia="zh-CN"/>
        </w:rPr>
        <w:t>10</w:t>
      </w:r>
      <w:r>
        <w:rPr>
          <w:rFonts w:hint="eastAsia" w:ascii="仿宋_GB2312" w:cs="仿宋_GB2312"/>
          <w:kern w:val="0"/>
        </w:rPr>
        <w:t>月</w:t>
      </w:r>
      <w:r>
        <w:rPr>
          <w:rFonts w:hint="eastAsia" w:ascii="仿宋_GB2312" w:cs="仿宋_GB2312"/>
          <w:kern w:val="0"/>
          <w:lang w:val="en-US" w:eastAsia="zh-CN"/>
        </w:rPr>
        <w:t>11</w:t>
      </w:r>
      <w:bookmarkStart w:id="0" w:name="_GoBack"/>
      <w:bookmarkEnd w:id="0"/>
      <w:r>
        <w:rPr>
          <w:rFonts w:hint="eastAsia" w:ascii="仿宋_GB2312" w:cs="仿宋_GB2312"/>
          <w:kern w:val="0"/>
        </w:rPr>
        <w:t>日</w:t>
      </w:r>
    </w:p>
    <w:p/>
    <w:p>
      <w:pPr>
        <w:adjustRightInd w:val="0"/>
        <w:snapToGrid w:val="0"/>
        <w:spacing w:line="560" w:lineRule="exact"/>
        <w:ind w:firstLine="4121" w:firstLineChars="1351"/>
        <w:rPr>
          <w:rFonts w:ascii="仿宋_GB2312"/>
          <w:color w:val="FF0000"/>
          <w:kern w:val="0"/>
        </w:rPr>
      </w:pPr>
    </w:p>
    <w:p>
      <w:pPr>
        <w:pStyle w:val="12"/>
        <w:ind w:left="609" w:firstLine="0" w:firstLineChars="0"/>
        <w:rPr>
          <w:color w:val="0000FF"/>
        </w:rPr>
      </w:pPr>
    </w:p>
    <w:p>
      <w:pPr>
        <w:pStyle w:val="12"/>
        <w:ind w:left="609" w:firstLine="0" w:firstLineChars="0"/>
        <w:rPr>
          <w:color w:val="0000FF"/>
        </w:rPr>
      </w:pPr>
    </w:p>
    <w:p>
      <w:pPr>
        <w:pStyle w:val="12"/>
        <w:ind w:left="609" w:firstLine="0" w:firstLineChars="0"/>
        <w:rPr>
          <w:color w:val="0000FF"/>
        </w:rPr>
      </w:pPr>
    </w:p>
    <w:p>
      <w:pPr>
        <w:pStyle w:val="12"/>
        <w:spacing w:line="24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pPr>
    </w:p>
    <w:p>
      <w:pPr>
        <w:pStyle w:val="12"/>
        <w:spacing w:line="200" w:lineRule="exact"/>
        <w:ind w:left="0" w:leftChars="0" w:firstLine="0" w:firstLineChars="0"/>
        <w:rPr>
          <w:rFonts w:hint="eastAsia"/>
        </w:rPr>
      </w:pPr>
    </w:p>
    <w:p>
      <w:pPr>
        <w:pStyle w:val="12"/>
        <w:spacing w:line="200" w:lineRule="exact"/>
        <w:ind w:left="0" w:leftChars="0" w:firstLine="0" w:firstLineChars="0"/>
      </w:pPr>
    </w:p>
    <w:p>
      <w:pPr>
        <w:pStyle w:val="12"/>
        <w:spacing w:line="200" w:lineRule="exact"/>
        <w:ind w:left="0" w:leftChars="0" w:firstLine="0" w:firstLineChars="0"/>
      </w:pPr>
    </w:p>
    <w:p>
      <w:pPr>
        <w:topLinePunct/>
        <w:adjustRightInd w:val="0"/>
        <w:snapToGrid w:val="0"/>
        <w:spacing w:line="520" w:lineRule="exact"/>
        <w:rPr>
          <w:rFonts w:ascii="仿宋_GB2312" w:cs="仿宋_GB2312"/>
          <w:spacing w:val="-3"/>
          <w:sz w:val="28"/>
          <w:szCs w:val="28"/>
        </w:rPr>
      </w:pPr>
      <w:r>
        <mc:AlternateContent>
          <mc:Choice Requires="wps">
            <w:drawing>
              <wp:anchor distT="0" distB="0" distL="114300" distR="114300" simplePos="0" relativeHeight="251665408" behindDoc="0" locked="0" layoutInCell="1" allowOverlap="1">
                <wp:simplePos x="0" y="0"/>
                <wp:positionH relativeFrom="column">
                  <wp:posOffset>-29210</wp:posOffset>
                </wp:positionH>
                <wp:positionV relativeFrom="paragraph">
                  <wp:posOffset>3810</wp:posOffset>
                </wp:positionV>
                <wp:extent cx="5802630" cy="0"/>
                <wp:effectExtent l="0" t="9525" r="7620" b="9525"/>
                <wp:wrapNone/>
                <wp:docPr id="6" name="直线 4"/>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2.3pt;margin-top:0.3pt;height:0pt;width:456.9pt;z-index:251665408;mso-width-relative:page;mso-height-relative:page;" filled="f" stroked="t" coordsize="21600,21600"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NYUg9IAAAAEAQAADwAAAAAA&#10;AAABACAAAAAiAAAAZHJzL2Rvd25yZXYueG1sUEsBAhQAFAAAAAgAh07iQEEcH+XgAQAA0AMAAA4A&#10;AAAAAAAAAQAgAAAAIQEAAGRycy9lMm9Eb2MueG1sUEsFBgAAAAAGAAYAWQEAAHMFAAAAAA==&#10;">
                <v:fill on="f" focussize="0,0"/>
                <v:stroke weight="1.5pt" color="#000000" joinstyle="round"/>
                <v:imagedata o:title=""/>
                <o:lock v:ext="edit" aspectratio="f"/>
              </v:line>
            </w:pict>
          </mc:Fallback>
        </mc:AlternateContent>
      </w:r>
      <w:r>
        <w:rPr>
          <w:rFonts w:hint="eastAsia" w:ascii="仿宋_GB2312" w:hAnsi="仿宋_GB2312" w:cs="仿宋_GB2312"/>
          <w:spacing w:val="-3"/>
          <w:sz w:val="28"/>
          <w:szCs w:val="28"/>
        </w:rPr>
        <w:t>抄送：师市相关领导，发改委、</w:t>
      </w:r>
      <w:r>
        <w:rPr>
          <w:rFonts w:hint="eastAsia" w:ascii="仿宋_GB2312" w:hAnsi="仿宋_GB2312" w:cs="仿宋_GB2312"/>
          <w:spacing w:val="-3"/>
          <w:sz w:val="28"/>
          <w:szCs w:val="28"/>
          <w:lang w:eastAsia="zh-CN"/>
        </w:rPr>
        <w:t>工信局、</w:t>
      </w:r>
      <w:r>
        <w:rPr>
          <w:rFonts w:hint="eastAsia" w:ascii="仿宋_GB2312" w:hAnsi="仿宋_GB2312" w:cs="仿宋_GB2312"/>
          <w:spacing w:val="-3"/>
          <w:sz w:val="28"/>
          <w:szCs w:val="28"/>
        </w:rPr>
        <w:t>自然资源和规划局、十二团、生态环境保护综合行政执法支队、</w:t>
      </w:r>
      <w:r>
        <w:rPr>
          <w:rFonts w:hint="eastAsia"/>
          <w:spacing w:val="-3"/>
          <w:sz w:val="28"/>
          <w:szCs w:val="28"/>
        </w:rPr>
        <w:t>乌鲁木齐天泓润宇工程咨询有限公司</w:t>
      </w:r>
      <w:r>
        <w:rPr>
          <w:rFonts w:hint="eastAsia" w:ascii="仿宋_GB2312" w:hAnsi="仿宋_GB2312" w:cs="仿宋_GB2312"/>
          <w:spacing w:val="-3"/>
          <w:sz w:val="28"/>
          <w:szCs w:val="28"/>
        </w:rPr>
        <w:t>。</w:t>
      </w:r>
    </w:p>
    <w:p>
      <w:pPr>
        <w:topLinePunct/>
        <w:adjustRightInd w:val="0"/>
        <w:snapToGrid w:val="0"/>
        <w:spacing w:line="480" w:lineRule="exact"/>
        <w:rPr>
          <w:sz w:val="28"/>
          <w:szCs w:val="28"/>
        </w:rPr>
      </w:pPr>
      <w: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318135</wp:posOffset>
                </wp:positionV>
                <wp:extent cx="5802630" cy="0"/>
                <wp:effectExtent l="0" t="9525" r="7620" b="9525"/>
                <wp:wrapNone/>
                <wp:docPr id="3" name="直线 5"/>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1.5pt;margin-top:25.05pt;height:0pt;width:456.9pt;z-index:251661312;mso-width-relative:page;mso-height-relative:page;" filled="f" stroked="t" coordsize="21600,21600" o:gfxdata="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XMx231AAAAAgBAAAPAAAA&#10;AAAAAAEAIAAAACIAAABkcnMvZG93bnJldi54bWxQSwECFAAUAAAACACHTuJAPwt7n+ABAADQAwAA&#10;DgAAAAAAAAABACAAAAAjAQAAZHJzL2Uyb0RvYy54bWxQSwUGAAAAAAYABgBZAQAAdQU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26035</wp:posOffset>
                </wp:positionV>
                <wp:extent cx="5802630" cy="0"/>
                <wp:effectExtent l="0" t="0" r="0" b="0"/>
                <wp:wrapNone/>
                <wp:docPr id="4" name="直线 6"/>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3.55pt;margin-top:2.05pt;height:0pt;width:456.9pt;z-index:251662336;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Vjhgg1AAAAAYBAAAPAAAA&#10;AAAAAAEAIAAAACIAAABkcnMvZG93bnJldi54bWxQSwECFAAUAAAACACHTuJAZEz83eABAADPAwAA&#10;DgAAAAAAAAABACAAAAAjAQAAZHJzL2Uyb0RvYy54bWxQSwUGAAAAAAYABgBZAQAAdQUAAAAA&#10;">
                <v:fill on="f" focussize="0,0"/>
                <v:stroke color="#000000" joinstyle="round"/>
                <v:imagedata o:title=""/>
                <o:lock v:ext="edit" aspectratio="f"/>
              </v:line>
            </w:pict>
          </mc:Fallback>
        </mc:AlternateContent>
      </w:r>
      <w:r>
        <w:rPr>
          <w:rFonts w:hint="eastAsia"/>
          <w:sz w:val="28"/>
          <w:szCs w:val="28"/>
        </w:rPr>
        <w:t>第一师阿拉尔市生态环境局</w:t>
      </w:r>
      <w:r>
        <w:rPr>
          <w:sz w:val="28"/>
          <w:szCs w:val="28"/>
        </w:rPr>
        <w:t xml:space="preserve">                      </w:t>
      </w:r>
      <w:r>
        <w:rPr>
          <w:rFonts w:hint="eastAsia"/>
          <w:sz w:val="28"/>
          <w:szCs w:val="28"/>
        </w:rPr>
        <w:t xml:space="preserve"> </w:t>
      </w:r>
      <w:r>
        <w:rPr>
          <w:kern w:val="0"/>
          <w:sz w:val="28"/>
          <w:szCs w:val="28"/>
        </w:rPr>
        <w:t>2021年</w:t>
      </w:r>
      <w:r>
        <w:rPr>
          <w:rFonts w:hint="eastAsia"/>
          <w:kern w:val="0"/>
          <w:sz w:val="28"/>
          <w:szCs w:val="28"/>
          <w:lang w:val="en-US" w:eastAsia="zh-CN"/>
        </w:rPr>
        <w:t>10</w:t>
      </w:r>
      <w:r>
        <w:rPr>
          <w:kern w:val="0"/>
          <w:sz w:val="28"/>
          <w:szCs w:val="28"/>
        </w:rPr>
        <w:t>月</w:t>
      </w:r>
      <w:r>
        <w:rPr>
          <w:rFonts w:hint="eastAsia"/>
          <w:kern w:val="0"/>
          <w:sz w:val="28"/>
          <w:szCs w:val="28"/>
          <w:lang w:val="en-US" w:eastAsia="zh-CN"/>
        </w:rPr>
        <w:t>11</w:t>
      </w:r>
      <w:r>
        <w:rPr>
          <w:kern w:val="0"/>
          <w:sz w:val="28"/>
          <w:szCs w:val="28"/>
        </w:rPr>
        <w:t>日印发</w:t>
      </w:r>
    </w:p>
    <w:sectPr>
      <w:headerReference r:id="rId3" w:type="default"/>
      <w:footerReference r:id="rId4" w:type="default"/>
      <w:footerReference r:id="rId5" w:type="even"/>
      <w:pgSz w:w="11906" w:h="16838"/>
      <w:pgMar w:top="2098" w:right="1474" w:bottom="1984" w:left="1587" w:header="2098" w:footer="1985" w:gutter="0"/>
      <w:cols w:space="720" w:num="1"/>
      <w:docGrid w:type="linesAndChars" w:linePitch="604" w:charSpace="-3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仿宋_GB2312"/>
        <w:sz w:val="28"/>
        <w:szCs w:val="28"/>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wordWrap w:val="0"/>
                            <w:jc w:val="right"/>
                          </w:pPr>
                          <w:r>
                            <w:rPr>
                              <w:rFonts w:ascii="仿宋_GB2312"/>
                              <w:sz w:val="28"/>
                              <w:szCs w:val="28"/>
                            </w:rPr>
                            <w:t xml:space="preserve">                                                     — </w:t>
                          </w:r>
                          <w:r>
                            <w:rPr>
                              <w:rFonts w:ascii="仿宋_GB2312"/>
                              <w:sz w:val="28"/>
                              <w:szCs w:val="28"/>
                            </w:rPr>
                            <w:fldChar w:fldCharType="begin"/>
                          </w:r>
                          <w:r>
                            <w:rPr>
                              <w:rFonts w:ascii="仿宋_GB2312"/>
                              <w:sz w:val="28"/>
                              <w:szCs w:val="28"/>
                            </w:rPr>
                            <w:instrText xml:space="preserve"> PAGE </w:instrText>
                          </w:r>
                          <w:r>
                            <w:rPr>
                              <w:rFonts w:ascii="仿宋_GB2312"/>
                              <w:sz w:val="28"/>
                              <w:szCs w:val="28"/>
                            </w:rPr>
                            <w:fldChar w:fldCharType="separate"/>
                          </w:r>
                          <w:r>
                            <w:rPr>
                              <w:rFonts w:ascii="仿宋_GB2312"/>
                              <w:sz w:val="28"/>
                              <w:szCs w:val="28"/>
                            </w:rPr>
                            <w:t>6</w:t>
                          </w:r>
                          <w:r>
                            <w:rPr>
                              <w:rFonts w:ascii="仿宋_GB2312"/>
                              <w:sz w:val="28"/>
                              <w:szCs w:val="28"/>
                            </w:rPr>
                            <w:fldChar w:fldCharType="end"/>
                          </w:r>
                          <w:r>
                            <w:rPr>
                              <w:rFonts w:ascii="仿宋_GB2312"/>
                              <w:sz w:val="28"/>
                              <w:szCs w:val="28"/>
                            </w:rPr>
                            <w:t xml:space="preserve"> —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pPr>
                      <w:pStyle w:val="9"/>
                      <w:wordWrap w:val="0"/>
                      <w:jc w:val="right"/>
                    </w:pPr>
                    <w:r>
                      <w:rPr>
                        <w:rFonts w:ascii="仿宋_GB2312"/>
                        <w:sz w:val="28"/>
                        <w:szCs w:val="28"/>
                      </w:rPr>
                      <w:t xml:space="preserve">                                                     — </w:t>
                    </w:r>
                    <w:r>
                      <w:rPr>
                        <w:rFonts w:ascii="仿宋_GB2312"/>
                        <w:sz w:val="28"/>
                        <w:szCs w:val="28"/>
                      </w:rPr>
                      <w:fldChar w:fldCharType="begin"/>
                    </w:r>
                    <w:r>
                      <w:rPr>
                        <w:rFonts w:ascii="仿宋_GB2312"/>
                        <w:sz w:val="28"/>
                        <w:szCs w:val="28"/>
                      </w:rPr>
                      <w:instrText xml:space="preserve"> PAGE </w:instrText>
                    </w:r>
                    <w:r>
                      <w:rPr>
                        <w:rFonts w:ascii="仿宋_GB2312"/>
                        <w:sz w:val="28"/>
                        <w:szCs w:val="28"/>
                      </w:rPr>
                      <w:fldChar w:fldCharType="separate"/>
                    </w:r>
                    <w:r>
                      <w:rPr>
                        <w:rFonts w:ascii="仿宋_GB2312"/>
                        <w:sz w:val="28"/>
                        <w:szCs w:val="28"/>
                      </w:rPr>
                      <w:t>6</w:t>
                    </w:r>
                    <w:r>
                      <w:rPr>
                        <w:rFonts w:ascii="仿宋_GB2312"/>
                        <w:sz w:val="28"/>
                        <w:szCs w:val="28"/>
                      </w:rPr>
                      <w:fldChar w:fldCharType="end"/>
                    </w:r>
                    <w:r>
                      <w:rPr>
                        <w:rFonts w:ascii="仿宋_GB2312"/>
                        <w:sz w:val="28"/>
                        <w:szCs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仿宋_GB2312"/>
        <w:sz w:val="28"/>
        <w:szCs w:val="28"/>
      </w:rPr>
    </w:pPr>
    <w:r>
      <w:rPr>
        <w:rFonts w:ascii="仿宋_GB2312"/>
        <w:sz w:val="28"/>
        <w:szCs w:val="28"/>
      </w:rPr>
      <w:t xml:space="preserve">— </w:t>
    </w:r>
    <w:r>
      <w:rPr>
        <w:rStyle w:val="15"/>
        <w:rFonts w:ascii="仿宋_GB2312"/>
        <w:sz w:val="28"/>
        <w:szCs w:val="28"/>
      </w:rPr>
      <w:fldChar w:fldCharType="begin"/>
    </w:r>
    <w:r>
      <w:rPr>
        <w:rStyle w:val="15"/>
        <w:rFonts w:ascii="仿宋_GB2312"/>
        <w:sz w:val="28"/>
        <w:szCs w:val="28"/>
      </w:rPr>
      <w:instrText xml:space="preserve"> PAGE </w:instrText>
    </w:r>
    <w:r>
      <w:rPr>
        <w:rStyle w:val="15"/>
        <w:rFonts w:ascii="仿宋_GB2312"/>
        <w:sz w:val="28"/>
        <w:szCs w:val="28"/>
      </w:rPr>
      <w:fldChar w:fldCharType="separate"/>
    </w:r>
    <w:r>
      <w:rPr>
        <w:rStyle w:val="15"/>
        <w:rFonts w:ascii="仿宋_GB2312"/>
        <w:sz w:val="28"/>
        <w:szCs w:val="28"/>
      </w:rPr>
      <w:t>4</w:t>
    </w:r>
    <w:r>
      <w:rPr>
        <w:rStyle w:val="15"/>
        <w:rFonts w:ascii="仿宋_GB2312"/>
        <w:sz w:val="28"/>
        <w:szCs w:val="28"/>
      </w:rPr>
      <w:fldChar w:fldCharType="end"/>
    </w:r>
    <w:r>
      <w:rPr>
        <w:rFonts w:ascii="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4CD"/>
    <w:rsid w:val="0002100E"/>
    <w:rsid w:val="00025129"/>
    <w:rsid w:val="0003627E"/>
    <w:rsid w:val="00067B08"/>
    <w:rsid w:val="00073C72"/>
    <w:rsid w:val="00081DFA"/>
    <w:rsid w:val="0009177B"/>
    <w:rsid w:val="000C10E0"/>
    <w:rsid w:val="000D0248"/>
    <w:rsid w:val="000D3C6E"/>
    <w:rsid w:val="000E325E"/>
    <w:rsid w:val="000E36E3"/>
    <w:rsid w:val="000F6540"/>
    <w:rsid w:val="00102670"/>
    <w:rsid w:val="001131A0"/>
    <w:rsid w:val="0011780B"/>
    <w:rsid w:val="001351AA"/>
    <w:rsid w:val="00142209"/>
    <w:rsid w:val="001431BE"/>
    <w:rsid w:val="001478A1"/>
    <w:rsid w:val="00151BC5"/>
    <w:rsid w:val="0016275C"/>
    <w:rsid w:val="001639FC"/>
    <w:rsid w:val="00171DAC"/>
    <w:rsid w:val="00172A27"/>
    <w:rsid w:val="00173C39"/>
    <w:rsid w:val="00182FEC"/>
    <w:rsid w:val="001A2A43"/>
    <w:rsid w:val="001C118C"/>
    <w:rsid w:val="001C4019"/>
    <w:rsid w:val="001C6802"/>
    <w:rsid w:val="001C7850"/>
    <w:rsid w:val="001D4454"/>
    <w:rsid w:val="001E3B52"/>
    <w:rsid w:val="0020163E"/>
    <w:rsid w:val="00217698"/>
    <w:rsid w:val="00221F17"/>
    <w:rsid w:val="00227C51"/>
    <w:rsid w:val="00242BA0"/>
    <w:rsid w:val="00295BA8"/>
    <w:rsid w:val="002A3C15"/>
    <w:rsid w:val="002B19C8"/>
    <w:rsid w:val="002B542D"/>
    <w:rsid w:val="002B6DD0"/>
    <w:rsid w:val="002C547B"/>
    <w:rsid w:val="002D4273"/>
    <w:rsid w:val="002F3867"/>
    <w:rsid w:val="002F5F6B"/>
    <w:rsid w:val="00301877"/>
    <w:rsid w:val="003023C4"/>
    <w:rsid w:val="00304D0B"/>
    <w:rsid w:val="003111A9"/>
    <w:rsid w:val="00344500"/>
    <w:rsid w:val="0034681B"/>
    <w:rsid w:val="00356217"/>
    <w:rsid w:val="00362623"/>
    <w:rsid w:val="00364095"/>
    <w:rsid w:val="0037214A"/>
    <w:rsid w:val="00381759"/>
    <w:rsid w:val="00387BD7"/>
    <w:rsid w:val="0039331B"/>
    <w:rsid w:val="003A7228"/>
    <w:rsid w:val="003C0176"/>
    <w:rsid w:val="003F3A9F"/>
    <w:rsid w:val="003F3CAB"/>
    <w:rsid w:val="003F5ECF"/>
    <w:rsid w:val="003F754F"/>
    <w:rsid w:val="003F7F32"/>
    <w:rsid w:val="00414269"/>
    <w:rsid w:val="0042735D"/>
    <w:rsid w:val="00437564"/>
    <w:rsid w:val="00467339"/>
    <w:rsid w:val="00467A46"/>
    <w:rsid w:val="004A0B75"/>
    <w:rsid w:val="004C21F7"/>
    <w:rsid w:val="004D0CAC"/>
    <w:rsid w:val="004D50DF"/>
    <w:rsid w:val="004D7EF0"/>
    <w:rsid w:val="004E59A2"/>
    <w:rsid w:val="004E78FB"/>
    <w:rsid w:val="0050203A"/>
    <w:rsid w:val="005034F0"/>
    <w:rsid w:val="005065C1"/>
    <w:rsid w:val="00521645"/>
    <w:rsid w:val="0054008B"/>
    <w:rsid w:val="00544F64"/>
    <w:rsid w:val="00552199"/>
    <w:rsid w:val="0056250B"/>
    <w:rsid w:val="00563047"/>
    <w:rsid w:val="0056471E"/>
    <w:rsid w:val="005658BF"/>
    <w:rsid w:val="00573380"/>
    <w:rsid w:val="00574966"/>
    <w:rsid w:val="00595200"/>
    <w:rsid w:val="005A0EF4"/>
    <w:rsid w:val="005A7DA2"/>
    <w:rsid w:val="005B5904"/>
    <w:rsid w:val="005B7397"/>
    <w:rsid w:val="005C1023"/>
    <w:rsid w:val="005C21E2"/>
    <w:rsid w:val="005C4009"/>
    <w:rsid w:val="005D4B5A"/>
    <w:rsid w:val="005E495F"/>
    <w:rsid w:val="005E71F3"/>
    <w:rsid w:val="00616CC0"/>
    <w:rsid w:val="00625852"/>
    <w:rsid w:val="00625BEE"/>
    <w:rsid w:val="00633A23"/>
    <w:rsid w:val="00635F1D"/>
    <w:rsid w:val="006403BB"/>
    <w:rsid w:val="00640AE8"/>
    <w:rsid w:val="00667317"/>
    <w:rsid w:val="006727ED"/>
    <w:rsid w:val="006C14B9"/>
    <w:rsid w:val="006D69B8"/>
    <w:rsid w:val="006D7837"/>
    <w:rsid w:val="00702A5C"/>
    <w:rsid w:val="00706D5A"/>
    <w:rsid w:val="00722814"/>
    <w:rsid w:val="00725EB1"/>
    <w:rsid w:val="00764C46"/>
    <w:rsid w:val="0076670F"/>
    <w:rsid w:val="0076673A"/>
    <w:rsid w:val="0077154D"/>
    <w:rsid w:val="00782DFB"/>
    <w:rsid w:val="007920AE"/>
    <w:rsid w:val="00794C98"/>
    <w:rsid w:val="007A536E"/>
    <w:rsid w:val="007B14CA"/>
    <w:rsid w:val="007B75B9"/>
    <w:rsid w:val="007C2643"/>
    <w:rsid w:val="007C727B"/>
    <w:rsid w:val="007C7434"/>
    <w:rsid w:val="007E7E36"/>
    <w:rsid w:val="007F26DF"/>
    <w:rsid w:val="008473C2"/>
    <w:rsid w:val="00870BDC"/>
    <w:rsid w:val="008A0CD9"/>
    <w:rsid w:val="008A3DE4"/>
    <w:rsid w:val="008B3ABC"/>
    <w:rsid w:val="008B4592"/>
    <w:rsid w:val="008B53D6"/>
    <w:rsid w:val="008C4076"/>
    <w:rsid w:val="008D4DA6"/>
    <w:rsid w:val="008E4CAD"/>
    <w:rsid w:val="00940701"/>
    <w:rsid w:val="009451BE"/>
    <w:rsid w:val="00953310"/>
    <w:rsid w:val="00967F11"/>
    <w:rsid w:val="009717AE"/>
    <w:rsid w:val="009831E4"/>
    <w:rsid w:val="009A57E1"/>
    <w:rsid w:val="009A6ADB"/>
    <w:rsid w:val="009C4D01"/>
    <w:rsid w:val="009C7135"/>
    <w:rsid w:val="009D32CE"/>
    <w:rsid w:val="009D3FB3"/>
    <w:rsid w:val="00A022D0"/>
    <w:rsid w:val="00A10371"/>
    <w:rsid w:val="00A17C00"/>
    <w:rsid w:val="00A310E4"/>
    <w:rsid w:val="00A4697E"/>
    <w:rsid w:val="00A47725"/>
    <w:rsid w:val="00A657FC"/>
    <w:rsid w:val="00A6628E"/>
    <w:rsid w:val="00A750A6"/>
    <w:rsid w:val="00A77C79"/>
    <w:rsid w:val="00AA3603"/>
    <w:rsid w:val="00AA4D77"/>
    <w:rsid w:val="00AB6EF5"/>
    <w:rsid w:val="00AC4A8C"/>
    <w:rsid w:val="00AC6CC0"/>
    <w:rsid w:val="00AD3DAD"/>
    <w:rsid w:val="00AE033B"/>
    <w:rsid w:val="00AE1A9B"/>
    <w:rsid w:val="00AE644B"/>
    <w:rsid w:val="00AE6472"/>
    <w:rsid w:val="00AF5850"/>
    <w:rsid w:val="00B00731"/>
    <w:rsid w:val="00B016D8"/>
    <w:rsid w:val="00B05BF7"/>
    <w:rsid w:val="00B1000F"/>
    <w:rsid w:val="00B124C4"/>
    <w:rsid w:val="00B1474C"/>
    <w:rsid w:val="00B25E52"/>
    <w:rsid w:val="00B62F40"/>
    <w:rsid w:val="00B749E5"/>
    <w:rsid w:val="00B7660D"/>
    <w:rsid w:val="00B82D7E"/>
    <w:rsid w:val="00B8493D"/>
    <w:rsid w:val="00B932C8"/>
    <w:rsid w:val="00BA5CB4"/>
    <w:rsid w:val="00BB0A14"/>
    <w:rsid w:val="00BB145C"/>
    <w:rsid w:val="00BB4C09"/>
    <w:rsid w:val="00BB6035"/>
    <w:rsid w:val="00BC1FD2"/>
    <w:rsid w:val="00BC5666"/>
    <w:rsid w:val="00BD1D4D"/>
    <w:rsid w:val="00C21A9D"/>
    <w:rsid w:val="00C62C13"/>
    <w:rsid w:val="00C6330E"/>
    <w:rsid w:val="00C83EEA"/>
    <w:rsid w:val="00C965F6"/>
    <w:rsid w:val="00CA71CC"/>
    <w:rsid w:val="00CC768D"/>
    <w:rsid w:val="00CD6137"/>
    <w:rsid w:val="00CF24A0"/>
    <w:rsid w:val="00CF6420"/>
    <w:rsid w:val="00D031D8"/>
    <w:rsid w:val="00D033F3"/>
    <w:rsid w:val="00D3088C"/>
    <w:rsid w:val="00D34FA7"/>
    <w:rsid w:val="00D51444"/>
    <w:rsid w:val="00D6121A"/>
    <w:rsid w:val="00D62111"/>
    <w:rsid w:val="00D624A5"/>
    <w:rsid w:val="00D62772"/>
    <w:rsid w:val="00DC2A23"/>
    <w:rsid w:val="00DD7B76"/>
    <w:rsid w:val="00DE4EA5"/>
    <w:rsid w:val="00DF55D1"/>
    <w:rsid w:val="00E16BE8"/>
    <w:rsid w:val="00E20524"/>
    <w:rsid w:val="00E205D2"/>
    <w:rsid w:val="00E20F24"/>
    <w:rsid w:val="00E231D6"/>
    <w:rsid w:val="00E36172"/>
    <w:rsid w:val="00E62930"/>
    <w:rsid w:val="00E74521"/>
    <w:rsid w:val="00E9496E"/>
    <w:rsid w:val="00EB462A"/>
    <w:rsid w:val="00EC2B80"/>
    <w:rsid w:val="00EC43F2"/>
    <w:rsid w:val="00EE1372"/>
    <w:rsid w:val="00EE7E1B"/>
    <w:rsid w:val="00EF36B4"/>
    <w:rsid w:val="00F2189F"/>
    <w:rsid w:val="00F3491A"/>
    <w:rsid w:val="00F35718"/>
    <w:rsid w:val="00F37233"/>
    <w:rsid w:val="00F47EFE"/>
    <w:rsid w:val="00F64F83"/>
    <w:rsid w:val="00F67ADD"/>
    <w:rsid w:val="00F86B97"/>
    <w:rsid w:val="00FB12D5"/>
    <w:rsid w:val="00FB2EBF"/>
    <w:rsid w:val="00FB3D4F"/>
    <w:rsid w:val="00FC166D"/>
    <w:rsid w:val="00FD02D8"/>
    <w:rsid w:val="00FF1A9F"/>
    <w:rsid w:val="00FF658E"/>
    <w:rsid w:val="00FF75C2"/>
    <w:rsid w:val="01064ED7"/>
    <w:rsid w:val="026A0CD1"/>
    <w:rsid w:val="02B04992"/>
    <w:rsid w:val="034755F0"/>
    <w:rsid w:val="035D241C"/>
    <w:rsid w:val="03D12BCA"/>
    <w:rsid w:val="04F2787B"/>
    <w:rsid w:val="05266A20"/>
    <w:rsid w:val="0541795A"/>
    <w:rsid w:val="05D43962"/>
    <w:rsid w:val="07DE4C7A"/>
    <w:rsid w:val="086949AE"/>
    <w:rsid w:val="08811A5C"/>
    <w:rsid w:val="0976230E"/>
    <w:rsid w:val="0A3D630E"/>
    <w:rsid w:val="0AC72C95"/>
    <w:rsid w:val="0AD425F9"/>
    <w:rsid w:val="0CF458FD"/>
    <w:rsid w:val="0D027E89"/>
    <w:rsid w:val="0D1F73B1"/>
    <w:rsid w:val="0E395175"/>
    <w:rsid w:val="0EF07023"/>
    <w:rsid w:val="106A30F3"/>
    <w:rsid w:val="13016401"/>
    <w:rsid w:val="14FD6733"/>
    <w:rsid w:val="173166B8"/>
    <w:rsid w:val="17A92121"/>
    <w:rsid w:val="17D468F4"/>
    <w:rsid w:val="18B86AB2"/>
    <w:rsid w:val="196E264E"/>
    <w:rsid w:val="1AF44BD8"/>
    <w:rsid w:val="1B4A2CAF"/>
    <w:rsid w:val="1CAF43B1"/>
    <w:rsid w:val="1D246E55"/>
    <w:rsid w:val="1DA90861"/>
    <w:rsid w:val="1DB85381"/>
    <w:rsid w:val="1E7476C9"/>
    <w:rsid w:val="200E15B3"/>
    <w:rsid w:val="211667CB"/>
    <w:rsid w:val="21530B74"/>
    <w:rsid w:val="23591758"/>
    <w:rsid w:val="239B50D7"/>
    <w:rsid w:val="24DB4525"/>
    <w:rsid w:val="258973A9"/>
    <w:rsid w:val="2591376E"/>
    <w:rsid w:val="25CA28C8"/>
    <w:rsid w:val="263C168D"/>
    <w:rsid w:val="269902DF"/>
    <w:rsid w:val="27265D89"/>
    <w:rsid w:val="275746DD"/>
    <w:rsid w:val="27600519"/>
    <w:rsid w:val="279B1CED"/>
    <w:rsid w:val="295B2467"/>
    <w:rsid w:val="2A364AB6"/>
    <w:rsid w:val="2A811409"/>
    <w:rsid w:val="2AA26EDD"/>
    <w:rsid w:val="2E027CBC"/>
    <w:rsid w:val="30455855"/>
    <w:rsid w:val="31785F6E"/>
    <w:rsid w:val="31B5299E"/>
    <w:rsid w:val="32741A14"/>
    <w:rsid w:val="32E10D6E"/>
    <w:rsid w:val="338D6A75"/>
    <w:rsid w:val="33E402A7"/>
    <w:rsid w:val="342C2E72"/>
    <w:rsid w:val="354A5F49"/>
    <w:rsid w:val="35621FD3"/>
    <w:rsid w:val="36DA608E"/>
    <w:rsid w:val="37621267"/>
    <w:rsid w:val="37D537C3"/>
    <w:rsid w:val="391E7A5F"/>
    <w:rsid w:val="3BC43568"/>
    <w:rsid w:val="3C6D1C18"/>
    <w:rsid w:val="3F335FA5"/>
    <w:rsid w:val="40105873"/>
    <w:rsid w:val="40ED03F5"/>
    <w:rsid w:val="42F77C98"/>
    <w:rsid w:val="445630FE"/>
    <w:rsid w:val="44FC29CD"/>
    <w:rsid w:val="45A75901"/>
    <w:rsid w:val="46022F6A"/>
    <w:rsid w:val="47784399"/>
    <w:rsid w:val="49E071E3"/>
    <w:rsid w:val="4A240FA5"/>
    <w:rsid w:val="4B774B0B"/>
    <w:rsid w:val="4C30095A"/>
    <w:rsid w:val="4C3345A7"/>
    <w:rsid w:val="4D683FE0"/>
    <w:rsid w:val="4E74734C"/>
    <w:rsid w:val="4F797014"/>
    <w:rsid w:val="508D765E"/>
    <w:rsid w:val="538D6631"/>
    <w:rsid w:val="54502155"/>
    <w:rsid w:val="54ED6B2C"/>
    <w:rsid w:val="562C7D95"/>
    <w:rsid w:val="570A1024"/>
    <w:rsid w:val="57F047FE"/>
    <w:rsid w:val="58747712"/>
    <w:rsid w:val="594B4499"/>
    <w:rsid w:val="5CD25C98"/>
    <w:rsid w:val="5E1340E2"/>
    <w:rsid w:val="5F9266A4"/>
    <w:rsid w:val="60182BAD"/>
    <w:rsid w:val="6105263C"/>
    <w:rsid w:val="6138315C"/>
    <w:rsid w:val="623E68BF"/>
    <w:rsid w:val="62833D3F"/>
    <w:rsid w:val="6378393C"/>
    <w:rsid w:val="63F123EB"/>
    <w:rsid w:val="643B27E7"/>
    <w:rsid w:val="64AC6C6D"/>
    <w:rsid w:val="64C3605F"/>
    <w:rsid w:val="64EF34AE"/>
    <w:rsid w:val="65281682"/>
    <w:rsid w:val="6764139C"/>
    <w:rsid w:val="67F13AD3"/>
    <w:rsid w:val="690F337D"/>
    <w:rsid w:val="6A5346D7"/>
    <w:rsid w:val="6BC356B8"/>
    <w:rsid w:val="6C4558CD"/>
    <w:rsid w:val="6C6670FC"/>
    <w:rsid w:val="6D3E2631"/>
    <w:rsid w:val="704979B6"/>
    <w:rsid w:val="71313099"/>
    <w:rsid w:val="71536BC6"/>
    <w:rsid w:val="716A0F98"/>
    <w:rsid w:val="7215000D"/>
    <w:rsid w:val="72227952"/>
    <w:rsid w:val="727609EA"/>
    <w:rsid w:val="72FF6643"/>
    <w:rsid w:val="734B05C2"/>
    <w:rsid w:val="7414378F"/>
    <w:rsid w:val="749E6E45"/>
    <w:rsid w:val="74C507FC"/>
    <w:rsid w:val="75421228"/>
    <w:rsid w:val="75963FB7"/>
    <w:rsid w:val="7703566A"/>
    <w:rsid w:val="78165F38"/>
    <w:rsid w:val="7834282C"/>
    <w:rsid w:val="79172FB5"/>
    <w:rsid w:val="794C523A"/>
    <w:rsid w:val="79890041"/>
    <w:rsid w:val="7B46402D"/>
    <w:rsid w:val="7BE9522B"/>
    <w:rsid w:val="7DE1518D"/>
    <w:rsid w:val="7E24255E"/>
    <w:rsid w:val="7F1B59B5"/>
    <w:rsid w:val="7F264332"/>
    <w:rsid w:val="7FEF40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Default"/>
    <w:basedOn w:val="1"/>
    <w:next w:val="1"/>
    <w:qFormat/>
    <w:uiPriority w:val="99"/>
    <w:pPr>
      <w:autoSpaceDE w:val="0"/>
      <w:autoSpaceDN w:val="0"/>
      <w:jc w:val="left"/>
    </w:pPr>
    <w:rPr>
      <w:rFonts w:ascii="宋体" w:eastAsia="宋体"/>
      <w:color w:val="000000"/>
      <w:kern w:val="0"/>
      <w:sz w:val="24"/>
      <w:szCs w:val="24"/>
    </w:rPr>
  </w:style>
  <w:style w:type="paragraph" w:styleId="3">
    <w:name w:val="Normal Indent"/>
    <w:basedOn w:val="1"/>
    <w:link w:val="27"/>
    <w:qFormat/>
    <w:uiPriority w:val="99"/>
    <w:pPr>
      <w:spacing w:line="520" w:lineRule="exact"/>
      <w:ind w:firstLine="624"/>
    </w:pPr>
    <w:rPr>
      <w:rFonts w:eastAsia="宋体"/>
      <w:sz w:val="28"/>
      <w:szCs w:val="20"/>
    </w:rPr>
  </w:style>
  <w:style w:type="paragraph" w:styleId="4">
    <w:name w:val="annotation text"/>
    <w:basedOn w:val="1"/>
    <w:link w:val="31"/>
    <w:semiHidden/>
    <w:qFormat/>
    <w:locked/>
    <w:uiPriority w:val="99"/>
    <w:pPr>
      <w:jc w:val="left"/>
    </w:pPr>
    <w:rPr>
      <w:kern w:val="0"/>
      <w:szCs w:val="20"/>
    </w:rPr>
  </w:style>
  <w:style w:type="paragraph" w:styleId="5">
    <w:name w:val="Body Text"/>
    <w:basedOn w:val="1"/>
    <w:link w:val="17"/>
    <w:qFormat/>
    <w:uiPriority w:val="99"/>
    <w:pPr>
      <w:spacing w:after="120"/>
    </w:pPr>
    <w:rPr>
      <w:kern w:val="0"/>
      <w:szCs w:val="20"/>
    </w:rPr>
  </w:style>
  <w:style w:type="paragraph" w:styleId="6">
    <w:name w:val="Body Text Indent"/>
    <w:basedOn w:val="1"/>
    <w:link w:val="18"/>
    <w:qFormat/>
    <w:uiPriority w:val="99"/>
    <w:pPr>
      <w:spacing w:after="120"/>
      <w:ind w:left="420" w:leftChars="200"/>
    </w:pPr>
    <w:rPr>
      <w:szCs w:val="20"/>
    </w:rPr>
  </w:style>
  <w:style w:type="paragraph" w:styleId="7">
    <w:name w:val="Plain Text"/>
    <w:basedOn w:val="1"/>
    <w:link w:val="24"/>
    <w:qFormat/>
    <w:uiPriority w:val="99"/>
    <w:rPr>
      <w:rFonts w:ascii="宋体" w:hAnsi="Courier New"/>
      <w:sz w:val="28"/>
      <w:szCs w:val="20"/>
    </w:rPr>
  </w:style>
  <w:style w:type="paragraph" w:styleId="8">
    <w:name w:val="Balloon Text"/>
    <w:basedOn w:val="1"/>
    <w:link w:val="33"/>
    <w:semiHidden/>
    <w:qFormat/>
    <w:locked/>
    <w:uiPriority w:val="99"/>
    <w:rPr>
      <w:kern w:val="0"/>
      <w:sz w:val="2"/>
      <w:szCs w:val="20"/>
    </w:rPr>
  </w:style>
  <w:style w:type="paragraph" w:styleId="9">
    <w:name w:val="footer"/>
    <w:basedOn w:val="1"/>
    <w:link w:val="20"/>
    <w:qFormat/>
    <w:uiPriority w:val="99"/>
    <w:pPr>
      <w:tabs>
        <w:tab w:val="center" w:pos="4153"/>
        <w:tab w:val="right" w:pos="8306"/>
      </w:tabs>
      <w:snapToGrid w:val="0"/>
      <w:jc w:val="left"/>
    </w:pPr>
    <w:rPr>
      <w:kern w:val="0"/>
      <w:sz w:val="18"/>
      <w:szCs w:val="20"/>
    </w:rPr>
  </w:style>
  <w:style w:type="paragraph" w:styleId="10">
    <w:name w:val="header"/>
    <w:basedOn w:val="1"/>
    <w:link w:val="21"/>
    <w:qFormat/>
    <w:uiPriority w:val="99"/>
    <w:pPr>
      <w:pBdr>
        <w:bottom w:val="thickThinSmallGap" w:color="auto" w:sz="24" w:space="1"/>
      </w:pBdr>
      <w:tabs>
        <w:tab w:val="center" w:pos="4153"/>
        <w:tab w:val="right" w:pos="8306"/>
      </w:tabs>
      <w:snapToGrid w:val="0"/>
      <w:jc w:val="center"/>
    </w:pPr>
    <w:rPr>
      <w:kern w:val="0"/>
      <w:sz w:val="18"/>
      <w:szCs w:val="20"/>
    </w:rPr>
  </w:style>
  <w:style w:type="paragraph" w:styleId="11">
    <w:name w:val="annotation subject"/>
    <w:basedOn w:val="4"/>
    <w:next w:val="4"/>
    <w:link w:val="32"/>
    <w:semiHidden/>
    <w:qFormat/>
    <w:locked/>
    <w:uiPriority w:val="99"/>
    <w:rPr>
      <w:b/>
    </w:rPr>
  </w:style>
  <w:style w:type="paragraph" w:styleId="12">
    <w:name w:val="Body Text First Indent 2"/>
    <w:basedOn w:val="6"/>
    <w:link w:val="30"/>
    <w:qFormat/>
    <w:locked/>
    <w:uiPriority w:val="99"/>
    <w:pPr>
      <w:ind w:firstLine="420" w:firstLineChars="200"/>
    </w:pPr>
  </w:style>
  <w:style w:type="character" w:styleId="15">
    <w:name w:val="page number"/>
    <w:basedOn w:val="14"/>
    <w:qFormat/>
    <w:uiPriority w:val="99"/>
    <w:rPr>
      <w:rFonts w:cs="Times New Roman"/>
    </w:rPr>
  </w:style>
  <w:style w:type="character" w:styleId="16">
    <w:name w:val="annotation reference"/>
    <w:basedOn w:val="14"/>
    <w:qFormat/>
    <w:uiPriority w:val="99"/>
    <w:rPr>
      <w:rFonts w:cs="Times New Roman"/>
      <w:sz w:val="21"/>
    </w:rPr>
  </w:style>
  <w:style w:type="character" w:customStyle="1" w:styleId="17">
    <w:name w:val="正文文本 Char"/>
    <w:basedOn w:val="14"/>
    <w:link w:val="5"/>
    <w:semiHidden/>
    <w:qFormat/>
    <w:locked/>
    <w:uiPriority w:val="99"/>
    <w:rPr>
      <w:rFonts w:ascii="Times New Roman" w:hAnsi="Times New Roman" w:eastAsia="仿宋_GB2312" w:cs="Times New Roman"/>
      <w:sz w:val="32"/>
    </w:rPr>
  </w:style>
  <w:style w:type="character" w:customStyle="1" w:styleId="18">
    <w:name w:val="正文文本缩进 Char"/>
    <w:basedOn w:val="14"/>
    <w:link w:val="6"/>
    <w:qFormat/>
    <w:locked/>
    <w:uiPriority w:val="99"/>
    <w:rPr>
      <w:rFonts w:eastAsia="仿宋_GB2312" w:cs="Times New Roman"/>
      <w:kern w:val="2"/>
      <w:sz w:val="32"/>
    </w:rPr>
  </w:style>
  <w:style w:type="character" w:customStyle="1" w:styleId="19">
    <w:name w:val="Plain Text Char"/>
    <w:basedOn w:val="14"/>
    <w:qFormat/>
    <w:locked/>
    <w:uiPriority w:val="99"/>
    <w:rPr>
      <w:rFonts w:ascii="宋体" w:hAnsi="Courier New" w:cs="Times New Roman"/>
      <w:kern w:val="2"/>
      <w:sz w:val="21"/>
    </w:rPr>
  </w:style>
  <w:style w:type="character" w:customStyle="1" w:styleId="20">
    <w:name w:val="页脚 Char"/>
    <w:basedOn w:val="14"/>
    <w:link w:val="9"/>
    <w:semiHidden/>
    <w:qFormat/>
    <w:locked/>
    <w:uiPriority w:val="99"/>
    <w:rPr>
      <w:rFonts w:ascii="Times New Roman" w:hAnsi="Times New Roman" w:eastAsia="仿宋_GB2312" w:cs="Times New Roman"/>
      <w:sz w:val="18"/>
    </w:rPr>
  </w:style>
  <w:style w:type="character" w:customStyle="1" w:styleId="21">
    <w:name w:val="页眉 Char"/>
    <w:basedOn w:val="14"/>
    <w:link w:val="10"/>
    <w:semiHidden/>
    <w:qFormat/>
    <w:locked/>
    <w:uiPriority w:val="99"/>
    <w:rPr>
      <w:rFonts w:ascii="Times New Roman" w:hAnsi="Times New Roman" w:eastAsia="仿宋_GB2312" w:cs="Times New Roman"/>
      <w:sz w:val="18"/>
    </w:rPr>
  </w:style>
  <w:style w:type="paragraph" w:customStyle="1" w:styleId="22">
    <w:name w:val="表内文字"/>
    <w:basedOn w:val="1"/>
    <w:qFormat/>
    <w:uiPriority w:val="99"/>
    <w:pPr>
      <w:widowControl/>
      <w:adjustRightInd w:val="0"/>
      <w:snapToGrid w:val="0"/>
      <w:spacing w:line="240" w:lineRule="atLeast"/>
      <w:jc w:val="center"/>
    </w:pPr>
    <w:rPr>
      <w:rFonts w:eastAsia="宋体"/>
      <w:kern w:val="0"/>
      <w:sz w:val="21"/>
      <w:szCs w:val="20"/>
    </w:rPr>
  </w:style>
  <w:style w:type="paragraph" w:customStyle="1" w:styleId="23">
    <w:name w:val="9"/>
    <w:basedOn w:val="1"/>
    <w:qFormat/>
    <w:uiPriority w:val="99"/>
    <w:pPr>
      <w:spacing w:line="460" w:lineRule="exact"/>
      <w:ind w:firstLine="480" w:firstLineChars="200"/>
    </w:pPr>
    <w:rPr>
      <w:rFonts w:ascii="宋体" w:hAnsi="宋体" w:eastAsia="宋体"/>
      <w:bCs/>
      <w:sz w:val="24"/>
      <w:szCs w:val="24"/>
    </w:rPr>
  </w:style>
  <w:style w:type="character" w:customStyle="1" w:styleId="24">
    <w:name w:val="纯文本 Char"/>
    <w:link w:val="7"/>
    <w:qFormat/>
    <w:locked/>
    <w:uiPriority w:val="99"/>
    <w:rPr>
      <w:rFonts w:ascii="宋体" w:hAnsi="Courier New" w:eastAsia="仿宋_GB2312"/>
      <w:kern w:val="2"/>
      <w:sz w:val="28"/>
    </w:rPr>
  </w:style>
  <w:style w:type="paragraph" w:customStyle="1" w:styleId="25">
    <w:name w:val="正文格式"/>
    <w:link w:val="26"/>
    <w:qFormat/>
    <w:uiPriority w:val="99"/>
    <w:pPr>
      <w:spacing w:line="360" w:lineRule="auto"/>
      <w:ind w:firstLine="200" w:firstLineChars="200"/>
    </w:pPr>
    <w:rPr>
      <w:rFonts w:ascii="宋体" w:hAnsi="Times New Roman" w:eastAsia="宋体" w:cs="Times New Roman"/>
      <w:color w:val="000000"/>
      <w:w w:val="110"/>
      <w:sz w:val="22"/>
      <w:szCs w:val="22"/>
      <w:lang w:val="en-US" w:eastAsia="zh-CN" w:bidi="ar-SA"/>
    </w:rPr>
  </w:style>
  <w:style w:type="character" w:customStyle="1" w:styleId="26">
    <w:name w:val="正文格式 Char Char"/>
    <w:link w:val="25"/>
    <w:qFormat/>
    <w:locked/>
    <w:uiPriority w:val="99"/>
    <w:rPr>
      <w:rFonts w:ascii="宋体"/>
      <w:color w:val="000000"/>
      <w:w w:val="110"/>
      <w:sz w:val="22"/>
    </w:rPr>
  </w:style>
  <w:style w:type="character" w:customStyle="1" w:styleId="27">
    <w:name w:val="正文缩进 Char"/>
    <w:link w:val="3"/>
    <w:qFormat/>
    <w:locked/>
    <w:uiPriority w:val="99"/>
    <w:rPr>
      <w:kern w:val="2"/>
      <w:sz w:val="28"/>
    </w:rPr>
  </w:style>
  <w:style w:type="paragraph" w:customStyle="1" w:styleId="28">
    <w:name w:val="表格内"/>
    <w:basedOn w:val="1"/>
    <w:qFormat/>
    <w:uiPriority w:val="99"/>
    <w:pPr>
      <w:adjustRightInd w:val="0"/>
      <w:spacing w:line="240" w:lineRule="atLeast"/>
      <w:jc w:val="center"/>
      <w:textAlignment w:val="baseline"/>
    </w:pPr>
    <w:rPr>
      <w:rFonts w:ascii="宋体"/>
      <w:kern w:val="0"/>
      <w:sz w:val="28"/>
      <w:szCs w:val="20"/>
    </w:rPr>
  </w:style>
  <w:style w:type="character" w:customStyle="1" w:styleId="29">
    <w:name w:val="15"/>
    <w:qFormat/>
    <w:uiPriority w:val="99"/>
    <w:rPr>
      <w:rFonts w:ascii="Times New Roman" w:hAnsi="Times New Roman"/>
    </w:rPr>
  </w:style>
  <w:style w:type="character" w:customStyle="1" w:styleId="30">
    <w:name w:val="正文首行缩进 2 Char"/>
    <w:basedOn w:val="18"/>
    <w:link w:val="12"/>
    <w:semiHidden/>
    <w:qFormat/>
    <w:locked/>
    <w:uiPriority w:val="99"/>
    <w:rPr>
      <w:rFonts w:eastAsia="仿宋_GB2312" w:cs="Times New Roman"/>
      <w:kern w:val="2"/>
      <w:sz w:val="32"/>
    </w:rPr>
  </w:style>
  <w:style w:type="character" w:customStyle="1" w:styleId="31">
    <w:name w:val="批注文字 Char"/>
    <w:basedOn w:val="14"/>
    <w:link w:val="4"/>
    <w:semiHidden/>
    <w:qFormat/>
    <w:locked/>
    <w:uiPriority w:val="99"/>
    <w:rPr>
      <w:rFonts w:eastAsia="仿宋_GB2312" w:cs="Times New Roman"/>
      <w:sz w:val="32"/>
    </w:rPr>
  </w:style>
  <w:style w:type="character" w:customStyle="1" w:styleId="32">
    <w:name w:val="批注主题 Char"/>
    <w:basedOn w:val="31"/>
    <w:link w:val="11"/>
    <w:semiHidden/>
    <w:qFormat/>
    <w:locked/>
    <w:uiPriority w:val="99"/>
    <w:rPr>
      <w:rFonts w:eastAsia="仿宋_GB2312" w:cs="Times New Roman"/>
      <w:b/>
      <w:sz w:val="32"/>
    </w:rPr>
  </w:style>
  <w:style w:type="character" w:customStyle="1" w:styleId="33">
    <w:name w:val="批注框文本 Char"/>
    <w:basedOn w:val="14"/>
    <w:link w:val="8"/>
    <w:semiHidden/>
    <w:qFormat/>
    <w:locked/>
    <w:uiPriority w:val="99"/>
    <w:rPr>
      <w:rFonts w:eastAsia="仿宋_GB2312" w:cs="Times New Roman"/>
      <w:sz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417</Words>
  <Characters>2377</Characters>
  <Lines>19</Lines>
  <Paragraphs>5</Paragraphs>
  <TotalTime>25</TotalTime>
  <ScaleCrop>false</ScaleCrop>
  <LinksUpToDate>false</LinksUpToDate>
  <CharactersWithSpaces>2789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2021-09-22T11:55:00Z</dcterms:created>
  <dc:creator>Administrator</dc:creator>
  <cp:lastModifiedBy>love rain</cp:lastModifiedBy>
  <cp:lastPrinted>2021-10-11T10:40:46Z</cp:lastPrinted>
  <dcterms:modified xsi:type="dcterms:W3CDTF">2021-10-11T10:42:14Z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0CF99DD1564D4276B6AD0271FDA0451C</vt:lpwstr>
  </property>
</Properties>
</file>