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textAlignment w:val="baseline"/>
        <w:rPr>
          <w:color w:val="0000FF"/>
          <w:sz w:val="36"/>
        </w:rPr>
      </w:pPr>
    </w:p>
    <w:p>
      <w:pPr>
        <w:pStyle w:val="17"/>
        <w:textAlignment w:val="baseline"/>
        <w:rPr>
          <w:color w:val="0000FF"/>
          <w:sz w:val="28"/>
        </w:rPr>
      </w:pPr>
    </w:p>
    <w:p>
      <w:pPr>
        <w:pStyle w:val="17"/>
        <w:spacing w:line="264" w:lineRule="auto"/>
        <w:textAlignment w:val="baseline"/>
        <w:rPr>
          <w:color w:val="0000FF"/>
          <w:sz w:val="28"/>
        </w:rPr>
      </w:pPr>
    </w:p>
    <w:p>
      <w:pPr>
        <w:textAlignment w:val="baseline"/>
        <w:rPr>
          <w:sz w:val="20"/>
        </w:rPr>
      </w:pPr>
    </w:p>
    <w:p>
      <w:pPr>
        <w:pStyle w:val="2"/>
      </w:pPr>
      <w:bookmarkStart w:id="0" w:name="_GoBack"/>
      <w:bookmarkEnd w:id="0"/>
    </w:p>
    <w:p>
      <w:pPr>
        <w:spacing w:line="560" w:lineRule="exact"/>
        <w:textAlignment w:val="baseline"/>
        <w:rPr>
          <w:color w:val="0000FF"/>
          <w:sz w:val="52"/>
        </w:rPr>
      </w:pPr>
      <w: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212725</wp:posOffset>
                </wp:positionV>
                <wp:extent cx="2948940" cy="501650"/>
                <wp:effectExtent l="4445" t="4445" r="18415" b="8255"/>
                <wp:wrapNone/>
                <wp:docPr id="1" name="文本框 3"/>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w:t>
                            </w:r>
                            <w:r>
                              <w:rPr>
                                <w:rFonts w:hint="eastAsia"/>
                                <w:lang w:val="en-US" w:eastAsia="zh-CN"/>
                              </w:rPr>
                              <w:t>84</w:t>
                            </w:r>
                            <w:r>
                              <w:rPr>
                                <w:rFonts w:hint="eastAsia"/>
                              </w:rPr>
                              <w:t>号</w:t>
                            </w:r>
                          </w:p>
                        </w:txbxContent>
                      </wps:txbx>
                      <wps:bodyPr upright="1"/>
                    </wps:wsp>
                  </a:graphicData>
                </a:graphic>
              </wp:anchor>
            </w:drawing>
          </mc:Choice>
          <mc:Fallback>
            <w:pict>
              <v:shape id="文本框 3" o:spid="_x0000_s1026" o:spt="202" type="#_x0000_t202" style="position:absolute;left:0pt;margin-left:99pt;margin-top:16.75pt;height:39.5pt;width:232.2pt;z-index:251659264;mso-width-relative:page;mso-height-relative:page;" fillcolor="#FFFFFF" filled="t" stroked="t" coordsize="21600,21600"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zpLCyQ4CAABEBAAADgAAAGRycy9lMm9Eb2MueG1srVPN&#10;jtMwEL4j8Q6W7zRt2a62UdOVoJQLAqSFB3CdSWLJf/K4TfoC8AacuHDnufY5duyUsrtceiAHZ+wZ&#10;fzPfN+PV7WA0O0BA5WzFZ5MpZ2Clq5VtK/71y/bVDWcYha2FdhYqfgTkt+uXL1a9L2HuOqdrCIxA&#10;LJa9r3gXoy+LAmUHRuDEebDkbFwwItI2tEUdRE/oRhfz6fS66F2ofXASEOl0Mzr5CTFcAuiaRknY&#10;OLk3YOOIGkCLSJSwUx75OlfbNCDjp6ZBiExXnJjGvFISsndpLdYrUbZB+E7JUwnikhKecTJCWUp6&#10;htqIKNg+qH+gjJLBoWviRDpTjESyIsRiNn2mzV0nPGQuJDX6s+j4/2Dlx8PnwFRNk8CZFYYafv/j&#10;+/3P3/e/vrHXSZ7eY0lRd57i4vDGDSn0dI50mFgPTTDpT3wY+Unc41lcGCKTdDhfXt0sr8glybeY&#10;zq4XWf3i720fML4HZ1gyKh6oeVlTcfiAkTJS6J+QlAydVvVWaZ03od291YEdBDV6m79UJF15EqYt&#10;6yu+XMwXVIeg6W1oasg0nhRA2+Z8T27gZcCpsI3AbiwgI4yzZVSEQJWIsgNRv7M1i0dPKlt6XDwV&#10;Y6DmTAO9xWTlyCiUviSS2GmboCFP+kml1LCxMcmKw24g0GTuXH2kJu59UG1HAuc2FslDw5W1Oj2E&#10;NL2P92Q/fvz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Kv57YAAAACgEAAA8AAAAAAAAAAQAg&#10;AAAAIgAAAGRycy9kb3ducmV2LnhtbFBLAQIUABQAAAAIAIdO4kDOksLJDgIAAEQEAAAOAAAAAAAA&#10;AAEAIAAAACcBAABkcnMvZTJvRG9jLnhtbFBLBQYAAAAABgAGAFkBAACnBQ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w:t>
                      </w:r>
                      <w:r>
                        <w:rPr>
                          <w:rFonts w:hint="eastAsia"/>
                          <w:lang w:val="en-US" w:eastAsia="zh-CN"/>
                        </w:rPr>
                        <w:t>84</w:t>
                      </w:r>
                      <w:r>
                        <w:rPr>
                          <w:rFonts w:hint="eastAsia"/>
                        </w:rPr>
                        <w:t>号</w:t>
                      </w:r>
                    </w:p>
                  </w:txbxContent>
                </v:textbox>
              </v:shape>
            </w:pict>
          </mc:Fallback>
        </mc:AlternateContent>
      </w:r>
    </w:p>
    <w:p>
      <w:pPr>
        <w:pStyle w:val="17"/>
        <w:textAlignment w:val="baseline"/>
      </w:pPr>
    </w:p>
    <w:p>
      <w:pPr>
        <w:spacing w:line="560" w:lineRule="exact"/>
        <w:jc w:val="center"/>
        <w:textAlignment w:val="baseline"/>
        <w:rPr>
          <w:rFonts w:hint="eastAsia" w:eastAsia="方正小标宋简体"/>
          <w:w w:val="95"/>
          <w:sz w:val="44"/>
          <w:szCs w:val="44"/>
        </w:rPr>
      </w:pPr>
    </w:p>
    <w:p>
      <w:pPr>
        <w:spacing w:line="560" w:lineRule="exact"/>
        <w:jc w:val="center"/>
        <w:textAlignment w:val="baseline"/>
        <w:rPr>
          <w:rFonts w:eastAsia="方正小标宋简体"/>
          <w:w w:val="95"/>
          <w:sz w:val="44"/>
          <w:szCs w:val="44"/>
        </w:rPr>
      </w:pPr>
      <w:r>
        <w:rPr>
          <w:rFonts w:hint="eastAsia" w:eastAsia="方正小标宋简体"/>
          <w:w w:val="95"/>
          <w:sz w:val="44"/>
          <w:szCs w:val="44"/>
        </w:rPr>
        <w:t>关于阿拉尔市大漠天然气有限责任公司</w:t>
      </w:r>
    </w:p>
    <w:p>
      <w:pPr>
        <w:spacing w:line="560" w:lineRule="exact"/>
        <w:jc w:val="center"/>
        <w:textAlignment w:val="baseline"/>
        <w:rPr>
          <w:rFonts w:eastAsia="方正小标宋简体"/>
          <w:w w:val="95"/>
          <w:sz w:val="44"/>
          <w:szCs w:val="44"/>
        </w:rPr>
      </w:pPr>
      <w:r>
        <w:rPr>
          <w:rFonts w:hint="eastAsia" w:eastAsia="方正小标宋简体"/>
          <w:w w:val="95"/>
          <w:sz w:val="44"/>
          <w:szCs w:val="44"/>
        </w:rPr>
        <w:t>阿拉尔市汇安加油加气站建设项目</w:t>
      </w:r>
    </w:p>
    <w:p>
      <w:pPr>
        <w:spacing w:line="560" w:lineRule="exact"/>
        <w:jc w:val="center"/>
        <w:textAlignment w:val="baseline"/>
        <w:rPr>
          <w:rFonts w:eastAsia="方正小标宋简体"/>
          <w:w w:val="95"/>
          <w:sz w:val="44"/>
          <w:szCs w:val="44"/>
        </w:rPr>
      </w:pPr>
      <w:r>
        <w:rPr>
          <w:rFonts w:hint="eastAsia" w:eastAsia="方正小标宋简体"/>
          <w:w w:val="95"/>
          <w:sz w:val="44"/>
          <w:szCs w:val="44"/>
        </w:rPr>
        <w:t>环境影响报告表的批复</w:t>
      </w:r>
    </w:p>
    <w:p>
      <w:pPr>
        <w:snapToGrid w:val="0"/>
        <w:spacing w:line="560" w:lineRule="exact"/>
        <w:textAlignment w:val="baseline"/>
        <w:rPr>
          <w:sz w:val="20"/>
        </w:rPr>
      </w:pPr>
    </w:p>
    <w:p>
      <w:pPr>
        <w:spacing w:line="560" w:lineRule="exact"/>
        <w:textAlignment w:val="baseline"/>
        <w:rPr>
          <w:rFonts w:ascii="仿宋_GB2312" w:hAnsi="仿宋" w:cs="仿宋"/>
          <w:sz w:val="20"/>
        </w:rPr>
      </w:pPr>
      <w:r>
        <w:rPr>
          <w:rFonts w:hint="eastAsia" w:ascii="仿宋_GB2312" w:hAnsi="仿宋"/>
          <w:spacing w:val="-10"/>
        </w:rPr>
        <w:t>阿拉尔市大漠天然气有限责任公司</w:t>
      </w:r>
      <w:r>
        <w:rPr>
          <w:rFonts w:hint="eastAsia" w:ascii="仿宋_GB2312" w:hAnsi="仿宋" w:cs="仿宋"/>
        </w:rPr>
        <w:t>：</w:t>
      </w:r>
    </w:p>
    <w:p>
      <w:pPr>
        <w:snapToGrid w:val="0"/>
        <w:spacing w:line="560" w:lineRule="exact"/>
        <w:ind w:firstLine="610" w:firstLineChars="200"/>
        <w:textAlignment w:val="baseline"/>
        <w:rPr>
          <w:rFonts w:ascii="仿宋_GB2312"/>
          <w:sz w:val="20"/>
        </w:rPr>
      </w:pPr>
      <w:r>
        <w:rPr>
          <w:rFonts w:hint="eastAsia" w:ascii="仿宋_GB2312"/>
        </w:rPr>
        <w:t>你单位报送的《关于送审阿拉尔市大漠天然气有限责任公司阿拉尔市汇安加油加气站建设项目环境影响报告表的申请》及《阿拉尔市大漠天然气有限责任公司阿拉尔市汇安加油加气站建设项目环境影响报告表》（以下简称报告表）收悉。经专家审查和研究，现批复如下：</w:t>
      </w:r>
    </w:p>
    <w:p>
      <w:pPr>
        <w:snapToGrid w:val="0"/>
        <w:spacing w:line="560" w:lineRule="exact"/>
        <w:ind w:firstLine="610" w:firstLineChars="200"/>
        <w:textAlignment w:val="baseline"/>
        <w:rPr>
          <w:rFonts w:ascii="仿宋_GB2312" w:hAnsi="仿宋_GB2312" w:cs="仿宋_GB2312"/>
          <w:sz w:val="20"/>
        </w:rPr>
      </w:pPr>
      <w:r>
        <w:rPr>
          <w:rFonts w:hint="eastAsia" w:ascii="仿宋_GB2312" w:hAnsi="仿宋_GB2312" w:cs="仿宋_GB2312"/>
        </w:rPr>
        <w:t>一、该</w:t>
      </w:r>
      <w:r>
        <w:rPr>
          <w:rFonts w:hint="eastAsia"/>
        </w:rPr>
        <w:t>项目位于阿拉尔市阿和公路和阿沙公路交汇处</w:t>
      </w:r>
      <w:r>
        <w:rPr>
          <w:rFonts w:hint="eastAsia" w:ascii="仿宋_GB2312" w:hAnsi="仿宋_GB2312" w:cs="仿宋_GB2312"/>
        </w:rPr>
        <w:t>。项目东侧为阿和公路、南侧北侧均为空地，西侧为阿沙公路。项目加油加气站中心地理位置坐标为：东经81°14′2.112″，北纬40°25′4.262″，天然气管道起点坐标为：东经81°14′14.392″，北纬40°26′30.441″，终点坐标为：东经81°14′0.130″，北纬40°25′7.820″。项目加油加气站占地面积14929.56平方米，天然气管道占地面积10998平方米。项目主要建设内容包括：加油加气站和天然气管道，站内配有储气井、油罐、加油机等设备，同时配套建设辅助工程、公用工程和环保工程。项目总投资1782.24万元，其中环保投资95万元，占总投资的5.33％。</w:t>
      </w:r>
    </w:p>
    <w:p>
      <w:pPr>
        <w:snapToGrid w:val="0"/>
        <w:spacing w:line="560" w:lineRule="exact"/>
        <w:ind w:firstLine="610" w:firstLineChars="200"/>
        <w:textAlignment w:val="baseline"/>
        <w:rPr>
          <w:rFonts w:ascii="仿宋_GB2312" w:hAnsi="仿宋_GB2312" w:cs="仿宋_GB2312"/>
          <w:sz w:val="20"/>
        </w:rPr>
      </w:pPr>
      <w:r>
        <w:rPr>
          <w:rFonts w:hint="eastAsia" w:ascii="仿宋_GB2312" w:hAnsi="仿宋_GB2312" w:cs="仿宋_GB2312"/>
        </w:rPr>
        <w:t>二、该项目属于加油、加气站建设项目，我局原则同意报告表的结论。该项目卸油生产工艺流程为：油罐车→密闭卸油口→油罐→油气回收管线→油罐车；加油生产工艺流程为：拉油罐车→卸油→埋地油罐贮存→加油机加油→加油车；加气生产工艺流程为：管道气→储气瓶组→加气机→C</w:t>
      </w:r>
      <w:r>
        <w:rPr>
          <w:rFonts w:ascii="仿宋_GB2312" w:hAnsi="仿宋_GB2312" w:cs="仿宋_GB2312"/>
        </w:rPr>
        <w:t>NG</w:t>
      </w:r>
      <w:r>
        <w:rPr>
          <w:rFonts w:hint="eastAsia" w:ascii="仿宋_GB2312" w:hAnsi="仿宋_GB2312" w:cs="仿宋_GB2312"/>
        </w:rPr>
        <w:t>车载气瓶。我局原则同意报告表的结论。项目经投资主管部门依法审批后，你单位须严格按照报告表所列建设项目的性质、规模、地点、工艺和环境保护对策措施实施项目建设和运营。</w:t>
      </w:r>
    </w:p>
    <w:p>
      <w:pPr>
        <w:snapToGrid w:val="0"/>
        <w:spacing w:line="560" w:lineRule="exact"/>
        <w:ind w:firstLine="610" w:firstLineChars="200"/>
        <w:textAlignment w:val="baseline"/>
        <w:rPr>
          <w:rFonts w:ascii="仿宋_GB2312" w:hAnsi="仿宋_GB2312" w:cs="仿宋_GB2312"/>
          <w:sz w:val="20"/>
        </w:rPr>
      </w:pPr>
      <w:r>
        <w:rPr>
          <w:rFonts w:hint="eastAsia" w:ascii="仿宋_GB2312" w:hAnsi="仿宋_GB2312" w:cs="仿宋_GB2312"/>
        </w:rPr>
        <w:t>三、你单位在项目</w:t>
      </w:r>
      <w:r>
        <w:rPr>
          <w:rFonts w:hint="eastAsia" w:ascii="仿宋_GB2312" w:hAnsi="仿宋_GB2312" w:cs="仿宋_GB2312"/>
          <w:lang w:bidi="ar"/>
        </w:rPr>
        <w:t>建设和</w:t>
      </w:r>
      <w:r>
        <w:rPr>
          <w:rFonts w:hint="eastAsia" w:ascii="仿宋_GB2312" w:hAnsi="仿宋_GB2312" w:cs="仿宋_GB2312"/>
        </w:rPr>
        <w:t>运营中，应严格执行有关环境质量标准和污染物排放标准，认真、全面落实报告表提出的各项环保措施要求，确保污染物达标排放和各环境敏感点满足相应功能要求。重点做好以下工作：</w:t>
      </w:r>
    </w:p>
    <w:p>
      <w:pPr>
        <w:snapToGrid w:val="0"/>
        <w:spacing w:line="560" w:lineRule="exact"/>
        <w:ind w:firstLine="610" w:firstLineChars="200"/>
        <w:textAlignment w:val="baseline"/>
        <w:rPr>
          <w:rFonts w:ascii="仿宋_GB2312" w:hAnsi="仿宋_GB2312" w:cs="仿宋_GB2312"/>
          <w:sz w:val="20"/>
        </w:rPr>
      </w:pPr>
      <w:r>
        <w:rPr>
          <w:rFonts w:hint="eastAsia" w:ascii="仿宋_GB2312" w:hAnsi="仿宋_GB2312" w:cs="仿宋_GB2312"/>
        </w:rPr>
        <w:t>（一）认真落实施工期环境保护措施。做好施工过程中的降噪、防尘措施、施工固废清理和水土保持、防沙治沙等生态保护措施，妥善处置施工废弃物、生活垃圾及生活污水。</w:t>
      </w:r>
    </w:p>
    <w:p>
      <w:pPr>
        <w:snapToGrid w:val="0"/>
        <w:spacing w:line="560" w:lineRule="exact"/>
        <w:ind w:firstLine="610" w:firstLineChars="200"/>
        <w:textAlignment w:val="baseline"/>
        <w:rPr>
          <w:rFonts w:ascii="仿宋_GB2312" w:hAnsi="仿宋_GB2312" w:cs="仿宋_GB2312"/>
          <w:sz w:val="20"/>
        </w:rPr>
      </w:pPr>
      <w:r>
        <w:rPr>
          <w:rFonts w:ascii="仿宋_GB2312" w:hAnsi="仿宋_GB2312" w:cs="仿宋_GB2312"/>
        </w:rPr>
        <w:t>（二）严格落实大气污染防治措施。运营期大气污染物主要为</w:t>
      </w:r>
      <w:r>
        <w:rPr>
          <w:rFonts w:hint="eastAsia" w:ascii="仿宋_GB2312" w:hAnsi="仿宋_GB2312" w:cs="仿宋_GB2312"/>
        </w:rPr>
        <w:t>卸油工序、加油工序、罐区及储气井等逸散的</w:t>
      </w:r>
      <w:r>
        <w:rPr>
          <w:rFonts w:ascii="仿宋_GB2312" w:hAnsi="仿宋_GB2312" w:cs="仿宋_GB2312"/>
        </w:rPr>
        <w:t>有机废气</w:t>
      </w:r>
      <w:r>
        <w:rPr>
          <w:rFonts w:hint="eastAsia" w:ascii="仿宋_GB2312" w:hAnsi="仿宋_GB2312" w:cs="仿宋_GB2312"/>
        </w:rPr>
        <w:t>（以非甲烷总烃计）及食堂油烟</w:t>
      </w:r>
      <w:r>
        <w:rPr>
          <w:rFonts w:ascii="仿宋_GB2312" w:hAnsi="仿宋_GB2312" w:cs="仿宋_GB2312"/>
        </w:rPr>
        <w:t>。</w:t>
      </w:r>
      <w:r>
        <w:rPr>
          <w:rFonts w:hint="eastAsia" w:ascii="仿宋_GB2312" w:hAnsi="仿宋_GB2312" w:cs="仿宋_GB2312"/>
        </w:rPr>
        <w:t>卸油工序、加油工序及罐区均采用油气回收装置对“大小呼吸”逸散的油气进行回收，汽柴油储罐为双层罐，设置有储罐渗漏监测系统，进行在线分析及报警；储气井设置可燃气体浓度检测报警装置并通过采取加强生产管理，定期维护和检查生产设备及管道等措施，厂界非甲烷总烃排放浓度须满足《加油站大气污染物排放标准》(GB20952-2020)中表3油气浓度无组织排放限值要求；食堂油烟经油烟净化装置处理后，外排油烟废气须满足《饮食业油烟排放标准》（试行）（GB18483-2001）中表2最高允许排放浓度标准限值要求。</w:t>
      </w:r>
    </w:p>
    <w:p>
      <w:pPr>
        <w:snapToGrid w:val="0"/>
        <w:spacing w:line="560" w:lineRule="exact"/>
        <w:ind w:firstLine="610" w:firstLineChars="200"/>
        <w:textAlignment w:val="baseline"/>
        <w:rPr>
          <w:sz w:val="20"/>
        </w:rPr>
      </w:pPr>
      <w:r>
        <w:rPr>
          <w:rFonts w:ascii="仿宋_GB2312" w:hAnsi="仿宋_GB2312" w:cs="仿宋_GB2312"/>
        </w:rPr>
        <w:t>（三）</w:t>
      </w:r>
      <w:r>
        <w:rPr>
          <w:rFonts w:hint="eastAsia" w:ascii="仿宋_GB2312" w:hAnsi="仿宋_GB2312" w:cs="仿宋_GB2312"/>
        </w:rPr>
        <w:t>严格落实水污染防治措施。项目运营期废水主要为生产废水和生活污水。生产废水主要为油罐清洗废水、地坪冲洗废水，油罐清洗废水由有资质的单位进行处置，地坪冲洗废水经隔油池处理后排入项目区化粪池；生活污水经化粪池处理，各污染物浓度满足《污水综合排放标准》（GB8978-1996）中表</w:t>
      </w:r>
      <w:r>
        <w:rPr>
          <w:rFonts w:ascii="仿宋_GB2312" w:hAnsi="仿宋_GB2312" w:cs="仿宋_GB2312"/>
        </w:rPr>
        <w:t>4</w:t>
      </w:r>
      <w:r>
        <w:rPr>
          <w:rFonts w:hint="eastAsia" w:ascii="仿宋_GB2312" w:hAnsi="仿宋_GB2312" w:cs="仿宋_GB2312"/>
        </w:rPr>
        <w:t>三级标准后，定期由吸污车拉运至阿拉尔市生活污水处理厂处置</w:t>
      </w:r>
      <w:r>
        <w:rPr>
          <w:rFonts w:hint="eastAsia"/>
        </w:rPr>
        <w:t>。</w:t>
      </w:r>
    </w:p>
    <w:p>
      <w:pPr>
        <w:pStyle w:val="17"/>
        <w:snapToGrid w:val="0"/>
        <w:spacing w:line="560" w:lineRule="exact"/>
        <w:ind w:firstLine="610" w:firstLineChars="200"/>
        <w:jc w:val="both"/>
        <w:textAlignment w:val="baseline"/>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（四）严格落实噪声污染防治措施。项目运营期噪声主要为压缩机、油泵等机械设备</w:t>
      </w:r>
      <w:r>
        <w:rPr>
          <w:rFonts w:ascii="仿宋_GB2312" w:hAnsi="仿宋_GB2312" w:eastAsia="仿宋_GB2312" w:cs="仿宋_GB2312"/>
          <w:kern w:val="2"/>
          <w:sz w:val="32"/>
          <w:szCs w:val="32"/>
          <w:lang w:bidi="ar"/>
        </w:rPr>
        <w:t>运行噪声，</w:t>
      </w:r>
      <w:r>
        <w:rPr>
          <w:rFonts w:ascii="仿宋_GB2312" w:hAnsi="仿宋_GB2312" w:eastAsia="仿宋_GB2312" w:cs="仿宋_GB2312"/>
          <w:kern w:val="2"/>
          <w:sz w:val="32"/>
          <w:szCs w:val="32"/>
        </w:rPr>
        <w:t>通过选用低噪声设备，合理布设、基础减振等措施后，南侧、北侧厂界昼间、夜间噪声值均满足《工业企业厂界环境噪声排放标准》（GB12348-2008）中2类标准要求；东侧、西侧厂界昼间、夜间噪声值均满足《工业企业厂界环境噪声排放标准》（GB12348-2008）中4a类标准要求。</w:t>
      </w:r>
    </w:p>
    <w:p>
      <w:pPr>
        <w:snapToGrid w:val="0"/>
        <w:spacing w:line="560" w:lineRule="exact"/>
        <w:ind w:firstLine="610" w:firstLineChars="200"/>
        <w:textAlignment w:val="baseline"/>
        <w:rPr>
          <w:rFonts w:ascii="仿宋_GB2312" w:hAnsi="仿宋_GB2312" w:cs="仿宋_GB2312"/>
          <w:sz w:val="20"/>
        </w:rPr>
      </w:pPr>
      <w:r>
        <w:rPr>
          <w:rFonts w:hint="eastAsia" w:ascii="仿宋_GB2312" w:hAnsi="仿宋_GB2312" w:cs="仿宋_GB2312"/>
        </w:rPr>
        <w:t>（五）</w:t>
      </w:r>
      <w:r>
        <w:rPr>
          <w:rFonts w:hint="eastAsia" w:ascii="仿宋_GB2312"/>
        </w:rPr>
        <w:t>严格落实固体废物分类处置措施。</w:t>
      </w:r>
      <w:r>
        <w:rPr>
          <w:rFonts w:hint="eastAsia" w:ascii="仿宋_GB2312" w:hAnsi="仿宋_GB2312" w:cs="仿宋_GB2312"/>
        </w:rPr>
        <w:t>该项目产生的固体废物主要为罐底油泥、油罐清洗废水、沾油废物及生活垃圾。其中罐底油泥、油罐清洗废水、沾油废物属于危险废物，由</w:t>
      </w:r>
      <w:r>
        <w:rPr>
          <w:rFonts w:hint="eastAsia" w:ascii="仿宋_GB2312" w:hAnsi="仿宋"/>
        </w:rPr>
        <w:t>具备危险废物处置资质的单位</w:t>
      </w:r>
      <w:r>
        <w:rPr>
          <w:rFonts w:hint="eastAsia" w:ascii="仿宋_GB2312" w:hAnsi="仿宋_GB2312" w:cs="仿宋_GB2312"/>
        </w:rPr>
        <w:t>统一收集后</w:t>
      </w:r>
      <w:r>
        <w:rPr>
          <w:rFonts w:hint="eastAsia" w:ascii="仿宋_GB2312" w:hAnsi="仿宋_GB2312" w:cs="仿宋_GB2312"/>
          <w:bCs/>
        </w:rPr>
        <w:t>处置，沾油废物严禁混入生活垃圾。生活垃圾</w:t>
      </w:r>
      <w:r>
        <w:rPr>
          <w:rFonts w:ascii="仿宋_GB2312" w:hAnsi="仿宋_GB2312" w:cs="仿宋_GB2312"/>
          <w:bCs/>
        </w:rPr>
        <w:t>由环卫部门统一清运</w:t>
      </w:r>
      <w:r>
        <w:rPr>
          <w:rFonts w:hint="eastAsia" w:ascii="仿宋_GB2312" w:hAnsi="仿宋_GB2312" w:cs="仿宋_GB2312"/>
          <w:bCs/>
        </w:rPr>
        <w:t>至阿拉尔市生活垃圾填埋场。</w:t>
      </w:r>
    </w:p>
    <w:p>
      <w:pPr>
        <w:snapToGrid w:val="0"/>
        <w:spacing w:line="560" w:lineRule="exact"/>
        <w:ind w:firstLine="610" w:firstLineChars="200"/>
        <w:textAlignment w:val="baseline"/>
        <w:rPr>
          <w:rFonts w:ascii="仿宋_GB2312" w:hAnsi="仿宋_GB2312" w:cs="仿宋_GB2312"/>
          <w:sz w:val="20"/>
        </w:rPr>
      </w:pPr>
      <w:r>
        <w:rPr>
          <w:rFonts w:hint="eastAsia" w:ascii="仿宋_GB2312" w:hAnsi="仿宋_GB2312" w:cs="仿宋_GB2312"/>
        </w:rPr>
        <w:t>（六）该项目运营期加强管理，加强设备运行维护。加强项目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p>
      <w:pPr>
        <w:snapToGrid w:val="0"/>
        <w:spacing w:line="560" w:lineRule="exact"/>
        <w:ind w:firstLine="610" w:firstLineChars="200"/>
        <w:textAlignment w:val="baseline"/>
        <w:rPr>
          <w:rFonts w:ascii="仿宋_GB2312" w:hAnsi="仿宋_GB2312" w:cs="仿宋_GB2312"/>
          <w:sz w:val="20"/>
        </w:rPr>
      </w:pPr>
      <w:r>
        <w:rPr>
          <w:rFonts w:hint="eastAsia" w:ascii="仿宋_GB2312" w:hAnsi="仿宋_GB2312" w:cs="仿宋_GB2312"/>
        </w:rPr>
        <w:t>四、</w:t>
      </w:r>
      <w:r>
        <w:rPr>
          <w:rFonts w:hint="eastAsia" w:ascii="仿宋_GB2312"/>
        </w:rPr>
        <w:t>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rPr>
        <w:t>5</w:t>
      </w:r>
      <w:r>
        <w:rPr>
          <w:rFonts w:hint="eastAsia" w:ascii="仿宋_GB2312"/>
        </w:rPr>
        <w:t>个工作日内在相关网站进行公开，公示期限不得少于</w:t>
      </w:r>
      <w:r>
        <w:rPr>
          <w:rFonts w:ascii="仿宋_GB2312"/>
        </w:rPr>
        <w:t>20</w:t>
      </w:r>
      <w:r>
        <w:rPr>
          <w:rFonts w:hint="eastAsia" w:ascii="仿宋_GB2312"/>
        </w:rPr>
        <w:t>个工作日，并向我局报送相关信息；验收报告公示期满后</w:t>
      </w:r>
      <w:r>
        <w:rPr>
          <w:rFonts w:ascii="仿宋_GB2312"/>
        </w:rPr>
        <w:t>5</w:t>
      </w:r>
      <w:r>
        <w:rPr>
          <w:rFonts w:hint="eastAsia" w:ascii="仿宋_GB2312"/>
        </w:rPr>
        <w:t>个工作日内，建设单位应当登录“全国建设项目竣工环境保护验收信息平台”（网址为</w:t>
      </w:r>
      <w:r>
        <w:rPr>
          <w:rFonts w:ascii="仿宋_GB2312"/>
        </w:rPr>
        <w:t>http://114.251.10.205</w:t>
      </w:r>
      <w:r>
        <w:rPr>
          <w:rFonts w:hint="eastAsia" w:ascii="仿宋_GB2312"/>
        </w:rPr>
        <w:t>），填报建设项目基本信息、环境保护设施验收情况等相关信息</w:t>
      </w:r>
      <w:r>
        <w:rPr>
          <w:rFonts w:hint="eastAsia" w:ascii="仿宋_GB2312" w:hAnsi="仿宋_GB2312" w:cs="仿宋_GB2312"/>
        </w:rPr>
        <w:t>。</w:t>
      </w:r>
    </w:p>
    <w:p>
      <w:pPr>
        <w:snapToGrid w:val="0"/>
        <w:spacing w:line="560" w:lineRule="exact"/>
        <w:ind w:firstLine="610" w:firstLineChars="200"/>
        <w:textAlignment w:val="baseline"/>
        <w:rPr>
          <w:sz w:val="20"/>
        </w:rPr>
      </w:pPr>
      <w:r>
        <w:rPr>
          <w:rFonts w:hint="eastAsia" w:ascii="仿宋_GB2312"/>
        </w:rPr>
        <w:t>五、你单位须严格按照《排污许可证管理暂行规定》要求，在投入生产或使用并产生实际排污行为之前申请领取排污许可证或进行排污登记。</w:t>
      </w:r>
    </w:p>
    <w:p>
      <w:pPr>
        <w:snapToGrid w:val="0"/>
        <w:spacing w:line="560" w:lineRule="exact"/>
        <w:ind w:firstLine="610" w:firstLineChars="200"/>
        <w:textAlignment w:val="baseline"/>
        <w:rPr>
          <w:rFonts w:ascii="仿宋_GB2312"/>
          <w:sz w:val="20"/>
        </w:rPr>
      </w:pPr>
      <w:r>
        <w:rPr>
          <w:rFonts w:hint="eastAsia" w:ascii="仿宋_GB2312"/>
        </w:rPr>
        <w:t>六、根据《中华人民共和国环境影响评价法》等相关环保法律法规的规定，若项目性质、规模、地点、采用的防治污染、防止生态破坏的措施等发生重大变化时，应依法重新报批环评文件。自批准之日起</w:t>
      </w:r>
      <w:r>
        <w:rPr>
          <w:rFonts w:ascii="仿宋_GB2312"/>
        </w:rPr>
        <w:t>5</w:t>
      </w:r>
      <w:r>
        <w:rPr>
          <w:rFonts w:hint="eastAsia" w:ascii="仿宋_GB2312"/>
        </w:rPr>
        <w:t>年内未开工建设的，其环评文件应当报我局重新审核。在项目建设、运行过程中产生不符合经审批的环评文件情形的，应依法重新办理相关环保手续。</w:t>
      </w:r>
    </w:p>
    <w:p>
      <w:pPr>
        <w:snapToGrid w:val="0"/>
        <w:spacing w:line="560" w:lineRule="exact"/>
        <w:ind w:firstLine="610" w:firstLineChars="200"/>
        <w:textAlignment w:val="baseline"/>
        <w:rPr>
          <w:rFonts w:ascii="仿宋_GB2312"/>
          <w:kern w:val="0"/>
          <w:sz w:val="20"/>
        </w:rPr>
      </w:pPr>
      <w:r>
        <w:rPr>
          <w:rFonts w:hint="eastAsia" w:ascii="仿宋_GB2312" w:hAnsi="仿宋_GB2312" w:cs="仿宋_GB2312"/>
        </w:rPr>
        <w:t>七、</w:t>
      </w:r>
      <w:r>
        <w:rPr>
          <w:rFonts w:hint="eastAsia" w:ascii="仿宋_GB2312" w:hAnsi="仿宋_GB2312" w:cs="仿宋_GB2312"/>
          <w:lang w:val="en-US" w:eastAsia="zh-CN"/>
        </w:rPr>
        <w:t>十二团</w:t>
      </w:r>
      <w:r>
        <w:rPr>
          <w:rFonts w:hint="eastAsia" w:ascii="仿宋_GB2312" w:hAnsi="仿宋_GB2312" w:cs="仿宋_GB2312"/>
        </w:rPr>
        <w:t>按照《关于印发&lt;第一师阿拉尔市党政及其工作部门环境保护工作职责暂行规定&gt;的通知》（师市党办发〔2017〕47号）要求，做好该项目环境监管工作，</w:t>
      </w:r>
      <w:r>
        <w:rPr>
          <w:rFonts w:hint="eastAsia" w:ascii="仿宋_GB2312"/>
        </w:rPr>
        <w:t>师市生态环境保护综合行政执法支队做好该项目的抽查日常监督管理工作。</w:t>
      </w:r>
    </w:p>
    <w:p>
      <w:pPr>
        <w:textAlignment w:val="baseline"/>
        <w:rPr>
          <w:sz w:val="20"/>
        </w:rPr>
      </w:pPr>
    </w:p>
    <w:p>
      <w:pPr>
        <w:textAlignment w:val="baseline"/>
        <w:rPr>
          <w:sz w:val="20"/>
        </w:rPr>
      </w:pPr>
    </w:p>
    <w:p>
      <w:pPr>
        <w:snapToGrid w:val="0"/>
        <w:spacing w:line="560" w:lineRule="exact"/>
        <w:ind w:firstLine="5054" w:firstLineChars="1657"/>
        <w:textAlignment w:val="baseline"/>
        <w:rPr>
          <w:rFonts w:ascii="仿宋_GB2312"/>
          <w:kern w:val="0"/>
          <w:sz w:val="20"/>
        </w:rPr>
      </w:pPr>
      <w:r>
        <w:rPr>
          <w:rFonts w:hint="eastAsia" w:ascii="仿宋_GB2312" w:cs="仿宋_GB2312"/>
          <w:kern w:val="0"/>
        </w:rPr>
        <w:t>第一师阿拉尔市生态环境局</w:t>
      </w:r>
    </w:p>
    <w:p>
      <w:pPr>
        <w:textAlignment w:val="baseline"/>
        <w:rPr>
          <w:sz w:val="20"/>
        </w:rPr>
      </w:pPr>
      <w:r>
        <w:rPr>
          <w:rFonts w:ascii="仿宋_GB2312"/>
          <w:kern w:val="0"/>
        </w:rPr>
        <w:t xml:space="preserve">                                      2021</w:t>
      </w:r>
      <w:r>
        <w:rPr>
          <w:rFonts w:hint="eastAsia" w:ascii="仿宋_GB2312"/>
          <w:kern w:val="0"/>
        </w:rPr>
        <w:t>年</w:t>
      </w:r>
      <w:r>
        <w:rPr>
          <w:rFonts w:hint="eastAsia" w:ascii="仿宋_GB2312"/>
          <w:kern w:val="0"/>
          <w:lang w:val="en-US" w:eastAsia="zh-CN"/>
        </w:rPr>
        <w:t>10</w:t>
      </w:r>
      <w:r>
        <w:rPr>
          <w:rFonts w:hint="eastAsia" w:ascii="仿宋_GB2312" w:cs="仿宋_GB2312"/>
          <w:kern w:val="0"/>
        </w:rPr>
        <w:t>月</w:t>
      </w:r>
      <w:r>
        <w:rPr>
          <w:rFonts w:hint="eastAsia" w:ascii="仿宋_GB2312" w:cs="仿宋_GB2312"/>
          <w:kern w:val="0"/>
          <w:lang w:val="en-US" w:eastAsia="zh-CN"/>
        </w:rPr>
        <w:t>11</w:t>
      </w:r>
      <w:r>
        <w:rPr>
          <w:rFonts w:hint="eastAsia" w:ascii="仿宋_GB2312" w:cs="仿宋_GB2312"/>
          <w:kern w:val="0"/>
        </w:rPr>
        <w:t>日</w:t>
      </w:r>
    </w:p>
    <w:p>
      <w:pPr>
        <w:snapToGrid w:val="0"/>
        <w:spacing w:line="560" w:lineRule="exact"/>
        <w:ind w:firstLine="2500" w:firstLineChars="1351"/>
        <w:textAlignment w:val="baseline"/>
        <w:rPr>
          <w:rFonts w:ascii="仿宋_GB2312"/>
          <w:color w:val="FF0000"/>
          <w:kern w:val="0"/>
          <w:sz w:val="20"/>
        </w:rPr>
      </w:pPr>
    </w:p>
    <w:p>
      <w:pPr>
        <w:pStyle w:val="12"/>
        <w:ind w:left="609" w:firstLine="0" w:firstLineChars="0"/>
        <w:textAlignment w:val="baseline"/>
        <w:rPr>
          <w:color w:val="0000FF"/>
        </w:rPr>
      </w:pPr>
    </w:p>
    <w:p>
      <w:pPr>
        <w:pStyle w:val="12"/>
        <w:ind w:left="609" w:firstLine="0" w:firstLineChars="0"/>
        <w:textAlignment w:val="baseline"/>
        <w:rPr>
          <w:color w:val="0000FF"/>
        </w:rPr>
      </w:pPr>
    </w:p>
    <w:p>
      <w:pPr>
        <w:pStyle w:val="12"/>
        <w:ind w:left="609" w:firstLine="0" w:firstLineChars="0"/>
        <w:textAlignment w:val="baseline"/>
        <w:rPr>
          <w:color w:val="0000FF"/>
        </w:rPr>
      </w:pPr>
    </w:p>
    <w:p>
      <w:pPr>
        <w:pStyle w:val="12"/>
        <w:spacing w:line="24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pStyle w:val="12"/>
        <w:spacing w:line="200" w:lineRule="exact"/>
        <w:ind w:left="0" w:leftChars="0" w:firstLine="0" w:firstLineChars="0"/>
        <w:textAlignment w:val="baseline"/>
      </w:pPr>
    </w:p>
    <w:p>
      <w:pPr>
        <w:snapToGrid w:val="0"/>
        <w:spacing w:line="520" w:lineRule="exact"/>
        <w:textAlignment w:val="baseline"/>
        <w:rPr>
          <w:rFonts w:ascii="仿宋_GB2312" w:hAnsi="仿宋_GB2312" w:cs="仿宋_GB2312"/>
          <w:sz w:val="28"/>
          <w:szCs w:val="28"/>
        </w:rPr>
      </w:pPr>
      <w: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3810</wp:posOffset>
                </wp:positionV>
                <wp:extent cx="5802630" cy="0"/>
                <wp:effectExtent l="0" t="9525" r="7620" b="9525"/>
                <wp:wrapNone/>
                <wp:docPr id="2" name="直线 4"/>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2.3pt;margin-top:0.3pt;height:0pt;width:456.9pt;z-index:251660288;mso-width-relative:page;mso-height-relative:page;" filled="f" stroked="t"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Vln/Tt8BAADQAwAADgAAAGRycy9lMm9Eb2MueG1srVNLchMxEN1T&#10;xR1U2uOZGJIKUx5nERM2FLiKcIC2Ph5V6VdqxWOfhWuwYsNxcg1aGseBsPGCWWhare7X/Z5ai5u9&#10;s2ynEprge34xazlTXgRp/Lbn3+7v3lxzhhm8BBu86vlBIb9Zvn61GGOn5mEIVqrECMRjN8aeDznH&#10;rmlQDMoBzkJUng51SA4ybdO2kQlGQne2mbftVTOGJGMKQiGSdzUd8iNiOgcwaG2EWgXx4JTPE2pS&#10;FjJRwsFE5MvardZK5C9ao8rM9pyY5rpSEbI3ZW2WC+i2CeJgxLEFOKeFF5wcGE9FT1AryMAekvkH&#10;yhmRAgadZyK4ZiJSFSEWF+0Lbb4OEFXlQlJjPImO/w9WfN6tEzOy53POPDi68MfvPx5//mLvijZj&#10;xI5Cbv06HXcY16kQ3evkyp8osH3V83DSU+0zE+S8vG7nV29JavF01jwnxoT5owqOFaPn1vhCFTrY&#10;fcJMxSj0KaS4rWcjjev79rLgAQ2epgsn00VqHv22JmOwRt4Za0sKpu3m1ia2g3L59SucCPivsFJl&#10;BThMcfVoGotBgfzgJcuHSLJ4eg289OCU5MwqejzFIkDoMhh7TiSVtp46KLJOQhZrE+Sh6lv9dNG1&#10;x+NQlkn6c1+znx/i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1hSD0gAAAAQBAAAPAAAAAAAA&#10;AAEAIAAAACIAAABkcnMvZG93bnJldi54bWxQSwECFAAUAAAACACHTuJAVln/Tt8BAADQAwAADgAA&#10;AAAAAAABACAAAAAhAQAAZHJzL2Uyb0RvYy54bWxQSwUGAAAAAAYABgBZAQAAcgUAAAAA&#10;">
                <v:fill on="f" focussize="0,0"/>
                <v:stroke weight="1.5pt" color="#000000" joinstyle="round"/>
                <v:imagedata o:title=""/>
                <o:lock v:ext="edit" aspectratio="f"/>
              </v:line>
            </w:pict>
          </mc:Fallback>
        </mc:AlternateContent>
      </w:r>
      <w:r>
        <w:rPr>
          <w:rFonts w:hint="eastAsia" w:ascii="仿宋_GB2312" w:hAnsi="仿宋_GB2312" w:cs="仿宋_GB2312"/>
          <w:spacing w:val="-3"/>
          <w:sz w:val="28"/>
          <w:szCs w:val="28"/>
        </w:rPr>
        <w:t>抄送：师市相关领导，发改委、工信局、</w:t>
      </w:r>
      <w:r>
        <w:rPr>
          <w:rFonts w:hint="eastAsia" w:ascii="仿宋_GB2312" w:hAnsi="仿宋_GB2312" w:cs="仿宋_GB2312"/>
          <w:spacing w:val="-3"/>
          <w:sz w:val="28"/>
          <w:szCs w:val="28"/>
          <w:lang w:eastAsia="zh-CN"/>
        </w:rPr>
        <w:t>商务局、</w:t>
      </w:r>
      <w:r>
        <w:rPr>
          <w:rFonts w:hint="eastAsia" w:ascii="仿宋_GB2312" w:hAnsi="仿宋_GB2312" w:cs="仿宋_GB2312"/>
          <w:spacing w:val="-3"/>
          <w:sz w:val="28"/>
          <w:szCs w:val="28"/>
          <w:lang w:val="en-US" w:eastAsia="zh-CN"/>
        </w:rPr>
        <w:t>十二团、</w:t>
      </w:r>
      <w:r>
        <w:rPr>
          <w:rFonts w:hint="eastAsia" w:ascii="仿宋_GB2312" w:hAnsi="仿宋_GB2312" w:cs="仿宋_GB2312"/>
          <w:spacing w:val="-3"/>
          <w:sz w:val="28"/>
          <w:szCs w:val="28"/>
        </w:rPr>
        <w:t>生态环境保护综合行政执法支队</w:t>
      </w:r>
      <w:r>
        <w:rPr>
          <w:rFonts w:hint="eastAsia" w:ascii="仿宋_GB2312" w:hAnsi="仿宋_GB2312" w:cs="仿宋_GB2312"/>
          <w:spacing w:val="-3"/>
          <w:sz w:val="28"/>
          <w:szCs w:val="28"/>
          <w:lang w:eastAsia="zh-CN"/>
        </w:rPr>
        <w:t>、</w:t>
      </w:r>
      <w:r>
        <w:rPr>
          <w:rFonts w:hint="eastAsia" w:ascii="仿宋_GB2312" w:hAnsi="仿宋_GB2312" w:cs="仿宋_GB2312"/>
          <w:spacing w:val="-3"/>
          <w:sz w:val="28"/>
          <w:szCs w:val="28"/>
        </w:rPr>
        <w:t>阿克苏地区新地矿产资源开发有限责任公司。</w:t>
      </w:r>
    </w:p>
    <w:p>
      <w:pPr>
        <w:snapToGrid w:val="0"/>
        <w:spacing w:line="480" w:lineRule="exact"/>
        <w:textAlignment w:val="baseline"/>
        <w:rPr>
          <w:sz w:val="28"/>
          <w:szCs w:val="28"/>
        </w:rPr>
      </w:pPr>
      <w: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318135</wp:posOffset>
                </wp:positionV>
                <wp:extent cx="5802630" cy="0"/>
                <wp:effectExtent l="0" t="9525" r="7620" b="9525"/>
                <wp:wrapNone/>
                <wp:docPr id="3" name="直线 5"/>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1.5pt;margin-top:25.05pt;height:0pt;width:456.9pt;z-index:251661312;mso-width-relative:page;mso-height-relative:page;" filled="f" stroked="t" coordsize="21600,21600" o:gfxdata="UEsDBAoAAAAAAIdO4kAAAAAAAAAAAAAAAAAEAAAAZHJzL1BLAwQUAAAACACHTuJAlzMdt9QAAAAI&#10;AQAADwAAAGRycy9kb3ducmV2LnhtbE2PwU7DMAyG70i8Q2QkbltSYKgrTScxictulAk4ek1oKxKn&#10;arJufXuMOLCj/Vufv7/cnL0Tkx1jH0hDtlQgLDXB9NRq2L+9LHIQMSEZdIGshtlG2FTXVyUWJpzo&#10;1U51agVDKBaooUtpKKSMTWc9xmUYLHH2FUaPicexlWbEE8O9k3dKPUqPPfGHDge77WzzXR89U1Yf&#10;+fMO8/08u/pz/bB9303ktb69ydQTiGTP6f8YfvVZHSp2OoQjmSichsU9V0kaVioDwfk6U1zl8LeQ&#10;VSkvC1Q/UEsDBBQAAAAIAIdO4kA/C3uf4AEAANADAAAOAAAAZHJzL2Uyb0RvYy54bWytU0tu2zAQ&#10;3RfoHQjuaykOHKSC5SzippuiNdDmAGOSkgjwBw5j2WfpNbrqpsfJNTqkHKdNNl5EC2o4nHkz73G4&#10;vNlbw3Yqovau5RezmjPlhJfa9S2//3H34ZozTOAkGO9Uyw8K+c3q/bvlGBo194M3UkVGIA6bMbR8&#10;SCk0VYViUBZw5oNydNj5aCHRNvaVjDASujXVvK6vqtFHGaIXCpG86+mQHxHjOYC+67RQay8erHJp&#10;Qo3KQCJKOOiAfFW67Tol0reuQ5WYaTkxTWWlImRv81qtltD0EcKgxbEFOKeFF5wsaEdFT1BrSMAe&#10;on4FZbWIHn2XZsLbaiJSFCEWF/ULbb4PEFThQlJjOImObwcrvu42kWnZ8kvOHFi68Mefvx5//2GL&#10;rM0YsKGQW7eJxx2GTcxE9120+U8U2L7oeTjpqfaJCXIuruv51SVJLZ7OqufEEDF9Vt6ybLTcaJep&#10;QgO7L5ioGIU+hWS3cWykcf1YLzIe0OB1dOFk2kDNo+tLMnqj5Z02Jqdg7Le3JrId5MsvX+ZEwP+F&#10;5SprwGGKK0fTWAwK5CcnWToEksXRa+C5B6skZ0bR48kWAUKTQJtzIqm0cdRBlnUSMltbLw9F3+Kn&#10;iy49HocyT9K/+5L9/BB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XMx231AAAAAgBAAAPAAAA&#10;AAAAAAEAIAAAACIAAABkcnMvZG93bnJldi54bWxQSwECFAAUAAAACACHTuJAPwt7n+ABAADQAwAA&#10;DgAAAAAAAAABACAAAAAjAQAAZHJzL2Uyb0RvYy54bWxQSwUGAAAAAAYABgBZAQAAdQ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0" r="0" b="0"/>
                <wp:wrapNone/>
                <wp:docPr id="4" name="直线 6"/>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kTPzd4AEAAM8DAAAOAAAAZHJzL2Uyb0RvYy54bWytU82O0zAQ&#10;viPxDpbvNNlCqyVquoctywVBJZYHmNpOYsl/8nib9ll4DU5ceJx9DcZOtwvLpQdycMbjmW/m+zxe&#10;3RysYXsVUXvX8qtZzZlywkvt+pZ/u797c80ZJnASjHeq5UeF/Gb9+tVqDI2a+8EbqSIjEIfNGFo+&#10;pBSaqkIxKAs480E5Oux8tJBoG/tKRhgJ3ZpqXtfLavRRhuiFQiTvZjrkJ8R4CaDvOi3UxosHq1ya&#10;UKMykIgSDjogX5duu06J9KXrUCVmWk5MU1mpCNm7vFbrFTR9hDBocWoBLmnhBScL2lHRM9QGErCH&#10;qP+BslpEj75LM+FtNREpihCLq/qFNl8HCKpwIakxnEXH/wcrPu+3kWnZ8necObB04Y/ffzz+/MWW&#10;WZsxYEMht24bTzsM25iJHrpo858osEPR83jWUx0SE+RcXNfz5VuSWjydVc+JIWL6qLxl2Wi50S5T&#10;hQb2nzBRMQp9Cslu49jY8veL+YLggOauo/sm0wbqHV1fctEbLe+0MTkDY7+7NZHtId99+TIlwv0r&#10;LBfZAA5TXDmapmJQID84ydIxkCqOHgPPLVglOTOK3k62CBCaBNpcEkmljaMOsqqTjtnaeXks8hY/&#10;3XPp8TSTeZD+3Jfs53e4/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Vjhgg1AAAAAYBAAAPAAAA&#10;AAAAAAEAIAAAACIAAABkcnMvZG93bnJldi54bWxQSwECFAAUAAAACACHTuJAZEz83eABAADPAwAA&#10;DgAAAAAAAAABACAAAAAjAQAAZHJzL2Uyb0RvYy54bWxQSwUGAAAAAAYABgBZAQAAdQUAAAAA&#10;">
                <v:fill on="f" focussize="0,0"/>
                <v:stroke color="#000000" joinstyle="round"/>
                <v:imagedata o:title=""/>
                <o:lock v:ext="edit" aspectratio="f"/>
              </v:line>
            </w:pict>
          </mc:Fallback>
        </mc:AlternateContent>
      </w:r>
      <w:r>
        <w:rPr>
          <w:rFonts w:hint="eastAsia"/>
          <w:sz w:val="28"/>
          <w:szCs w:val="28"/>
        </w:rPr>
        <w:t>第一师阿拉尔市生态环境局</w:t>
      </w:r>
      <w:r>
        <w:rPr>
          <w:sz w:val="28"/>
          <w:szCs w:val="28"/>
        </w:rPr>
        <w:t xml:space="preserve">                       </w:t>
      </w:r>
      <w:r>
        <w:rPr>
          <w:kern w:val="0"/>
          <w:sz w:val="28"/>
          <w:szCs w:val="28"/>
        </w:rPr>
        <w:t>2021年</w:t>
      </w:r>
      <w:r>
        <w:rPr>
          <w:rFonts w:hint="eastAsia"/>
          <w:kern w:val="0"/>
          <w:sz w:val="28"/>
          <w:szCs w:val="28"/>
          <w:lang w:val="en-US" w:eastAsia="zh-CN"/>
        </w:rPr>
        <w:t>10</w:t>
      </w:r>
      <w:r>
        <w:rPr>
          <w:kern w:val="0"/>
          <w:sz w:val="28"/>
          <w:szCs w:val="28"/>
        </w:rPr>
        <w:t>月</w:t>
      </w:r>
      <w:r>
        <w:rPr>
          <w:rFonts w:hint="eastAsia"/>
          <w:kern w:val="0"/>
          <w:sz w:val="28"/>
          <w:szCs w:val="28"/>
          <w:lang w:val="en-US" w:eastAsia="zh-CN"/>
        </w:rPr>
        <w:t>11</w:t>
      </w:r>
      <w:r>
        <w:rPr>
          <w:kern w:val="0"/>
          <w:sz w:val="28"/>
          <w:szCs w:val="28"/>
        </w:rPr>
        <w:t>日印发</w:t>
      </w:r>
    </w:p>
    <w:sectPr>
      <w:headerReference r:id="rId3" w:type="default"/>
      <w:footerReference r:id="rId4" w:type="default"/>
      <w:footerReference r:id="rId5" w:type="even"/>
      <w:pgSz w:w="11906" w:h="16838"/>
      <w:pgMar w:top="2098" w:right="1474" w:bottom="1984" w:left="1587"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仿宋_GB2312"/>
        <w:sz w:val="28"/>
        <w:szCs w:val="2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4</w:t>
                          </w:r>
                          <w:r>
                            <w:rPr>
                              <w:rFonts w:ascii="仿宋_GB2312"/>
                              <w:sz w:val="28"/>
                              <w:szCs w:val="28"/>
                            </w:rPr>
                            <w:fldChar w:fldCharType="end"/>
                          </w:r>
                          <w:r>
                            <w:rPr>
                              <w:rFonts w:ascii="仿宋_GB2312"/>
                              <w:sz w:val="28"/>
                              <w:szCs w:val="28"/>
                            </w:rPr>
                            <w:t xml:space="preserve"> —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pStyle w:val="9"/>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4</w:t>
                    </w:r>
                    <w:r>
                      <w:rPr>
                        <w:rFonts w:ascii="仿宋_GB2312"/>
                        <w:sz w:val="28"/>
                        <w:szCs w:val="28"/>
                      </w:rPr>
                      <w:fldChar w:fldCharType="end"/>
                    </w:r>
                    <w:r>
                      <w:rPr>
                        <w:rFonts w:ascii="仿宋_GB2312"/>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仿宋_GB2312"/>
        <w:sz w:val="28"/>
        <w:szCs w:val="28"/>
      </w:rPr>
    </w:pPr>
    <w:r>
      <w:rPr>
        <w:rFonts w:ascii="仿宋_GB2312"/>
        <w:sz w:val="28"/>
        <w:szCs w:val="28"/>
      </w:rPr>
      <w:t xml:space="preserve">— </w:t>
    </w:r>
    <w:r>
      <w:rPr>
        <w:rStyle w:val="15"/>
        <w:rFonts w:ascii="仿宋_GB2312"/>
        <w:sz w:val="28"/>
        <w:szCs w:val="28"/>
      </w:rPr>
      <w:fldChar w:fldCharType="begin"/>
    </w:r>
    <w:r>
      <w:rPr>
        <w:rStyle w:val="15"/>
        <w:rFonts w:ascii="仿宋_GB2312"/>
        <w:sz w:val="28"/>
        <w:szCs w:val="28"/>
      </w:rPr>
      <w:instrText xml:space="preserve"> PAGE </w:instrText>
    </w:r>
    <w:r>
      <w:rPr>
        <w:rStyle w:val="15"/>
        <w:rFonts w:ascii="仿宋_GB2312"/>
        <w:sz w:val="28"/>
        <w:szCs w:val="28"/>
      </w:rPr>
      <w:fldChar w:fldCharType="separate"/>
    </w:r>
    <w:r>
      <w:rPr>
        <w:rStyle w:val="15"/>
        <w:rFonts w:ascii="仿宋_GB2312"/>
        <w:sz w:val="28"/>
        <w:szCs w:val="28"/>
      </w:rPr>
      <w:t>4</w:t>
    </w:r>
    <w:r>
      <w:rPr>
        <w:rStyle w:val="15"/>
        <w:rFonts w:ascii="仿宋_GB2312"/>
        <w:sz w:val="28"/>
        <w:szCs w:val="28"/>
      </w:rPr>
      <w:fldChar w:fldCharType="end"/>
    </w:r>
    <w:r>
      <w:rPr>
        <w:rFonts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4CD"/>
    <w:rsid w:val="0002100E"/>
    <w:rsid w:val="00025129"/>
    <w:rsid w:val="0003627E"/>
    <w:rsid w:val="0004599B"/>
    <w:rsid w:val="00067B08"/>
    <w:rsid w:val="00073C72"/>
    <w:rsid w:val="00081DFA"/>
    <w:rsid w:val="0009177B"/>
    <w:rsid w:val="000C10E0"/>
    <w:rsid w:val="000D0248"/>
    <w:rsid w:val="000E325E"/>
    <w:rsid w:val="000E36E3"/>
    <w:rsid w:val="000F6540"/>
    <w:rsid w:val="00102670"/>
    <w:rsid w:val="001131A0"/>
    <w:rsid w:val="0011780B"/>
    <w:rsid w:val="001351AA"/>
    <w:rsid w:val="001431BE"/>
    <w:rsid w:val="00143EDB"/>
    <w:rsid w:val="001478A1"/>
    <w:rsid w:val="00151BC5"/>
    <w:rsid w:val="001639FC"/>
    <w:rsid w:val="00171DAC"/>
    <w:rsid w:val="00172A27"/>
    <w:rsid w:val="00173C39"/>
    <w:rsid w:val="00182FEC"/>
    <w:rsid w:val="0019147E"/>
    <w:rsid w:val="001A2A43"/>
    <w:rsid w:val="001C118C"/>
    <w:rsid w:val="001C4019"/>
    <w:rsid w:val="001C6802"/>
    <w:rsid w:val="001C7850"/>
    <w:rsid w:val="001D4454"/>
    <w:rsid w:val="001E3B52"/>
    <w:rsid w:val="0020163E"/>
    <w:rsid w:val="00217698"/>
    <w:rsid w:val="00221F17"/>
    <w:rsid w:val="00227C51"/>
    <w:rsid w:val="00242BA0"/>
    <w:rsid w:val="00295BA8"/>
    <w:rsid w:val="002A3C15"/>
    <w:rsid w:val="002B19C8"/>
    <w:rsid w:val="002B542D"/>
    <w:rsid w:val="002B6DD0"/>
    <w:rsid w:val="002C547B"/>
    <w:rsid w:val="002D4273"/>
    <w:rsid w:val="002F3867"/>
    <w:rsid w:val="002F5F6B"/>
    <w:rsid w:val="00301877"/>
    <w:rsid w:val="003023C4"/>
    <w:rsid w:val="00304D0B"/>
    <w:rsid w:val="003111A9"/>
    <w:rsid w:val="00344500"/>
    <w:rsid w:val="0034681B"/>
    <w:rsid w:val="00356217"/>
    <w:rsid w:val="00362623"/>
    <w:rsid w:val="0037214A"/>
    <w:rsid w:val="00381759"/>
    <w:rsid w:val="00387BD7"/>
    <w:rsid w:val="0039331B"/>
    <w:rsid w:val="003A7228"/>
    <w:rsid w:val="003C0176"/>
    <w:rsid w:val="003F3A9F"/>
    <w:rsid w:val="003F3CAB"/>
    <w:rsid w:val="003F5ECF"/>
    <w:rsid w:val="003F754F"/>
    <w:rsid w:val="003F7F32"/>
    <w:rsid w:val="004133E9"/>
    <w:rsid w:val="00414269"/>
    <w:rsid w:val="00420032"/>
    <w:rsid w:val="0042735D"/>
    <w:rsid w:val="00437564"/>
    <w:rsid w:val="00455A9A"/>
    <w:rsid w:val="00467A46"/>
    <w:rsid w:val="00494EE1"/>
    <w:rsid w:val="004A0B75"/>
    <w:rsid w:val="004C21F7"/>
    <w:rsid w:val="004D50DF"/>
    <w:rsid w:val="004E59A2"/>
    <w:rsid w:val="004E78FB"/>
    <w:rsid w:val="0050203A"/>
    <w:rsid w:val="005034F0"/>
    <w:rsid w:val="005065C1"/>
    <w:rsid w:val="00521645"/>
    <w:rsid w:val="0054008B"/>
    <w:rsid w:val="00544F64"/>
    <w:rsid w:val="00552199"/>
    <w:rsid w:val="0056250B"/>
    <w:rsid w:val="0056471E"/>
    <w:rsid w:val="005658BF"/>
    <w:rsid w:val="00573380"/>
    <w:rsid w:val="00574966"/>
    <w:rsid w:val="00595200"/>
    <w:rsid w:val="005A0EF4"/>
    <w:rsid w:val="005A7DA2"/>
    <w:rsid w:val="005B5904"/>
    <w:rsid w:val="005B7397"/>
    <w:rsid w:val="005C1023"/>
    <w:rsid w:val="005C21E2"/>
    <w:rsid w:val="005C4009"/>
    <w:rsid w:val="005D4B5A"/>
    <w:rsid w:val="005E495F"/>
    <w:rsid w:val="005E71F3"/>
    <w:rsid w:val="00616CC0"/>
    <w:rsid w:val="00625852"/>
    <w:rsid w:val="00625BEE"/>
    <w:rsid w:val="00633A23"/>
    <w:rsid w:val="00635F1D"/>
    <w:rsid w:val="006403BB"/>
    <w:rsid w:val="00640AE8"/>
    <w:rsid w:val="00667317"/>
    <w:rsid w:val="006727ED"/>
    <w:rsid w:val="006C14B9"/>
    <w:rsid w:val="006D69B8"/>
    <w:rsid w:val="006D7837"/>
    <w:rsid w:val="00702A5C"/>
    <w:rsid w:val="00706D5A"/>
    <w:rsid w:val="00722814"/>
    <w:rsid w:val="00725EB1"/>
    <w:rsid w:val="00732FC8"/>
    <w:rsid w:val="00764C46"/>
    <w:rsid w:val="0076670F"/>
    <w:rsid w:val="0076673A"/>
    <w:rsid w:val="0077154D"/>
    <w:rsid w:val="00782DFB"/>
    <w:rsid w:val="007920AE"/>
    <w:rsid w:val="00794C98"/>
    <w:rsid w:val="007A536E"/>
    <w:rsid w:val="007A7D40"/>
    <w:rsid w:val="007B14CA"/>
    <w:rsid w:val="007B75B9"/>
    <w:rsid w:val="007C2643"/>
    <w:rsid w:val="007C727B"/>
    <w:rsid w:val="007C7434"/>
    <w:rsid w:val="007E215C"/>
    <w:rsid w:val="007E7E36"/>
    <w:rsid w:val="007F26DF"/>
    <w:rsid w:val="008473C2"/>
    <w:rsid w:val="00870BDC"/>
    <w:rsid w:val="008A0CD9"/>
    <w:rsid w:val="008A3DE4"/>
    <w:rsid w:val="008B3ABC"/>
    <w:rsid w:val="008B4592"/>
    <w:rsid w:val="008B53D6"/>
    <w:rsid w:val="008C4076"/>
    <w:rsid w:val="008D4DA6"/>
    <w:rsid w:val="008E4CAD"/>
    <w:rsid w:val="00940701"/>
    <w:rsid w:val="009451BE"/>
    <w:rsid w:val="00952B63"/>
    <w:rsid w:val="00967F11"/>
    <w:rsid w:val="009717AE"/>
    <w:rsid w:val="009831E4"/>
    <w:rsid w:val="0099262E"/>
    <w:rsid w:val="009A57E1"/>
    <w:rsid w:val="009A6ADB"/>
    <w:rsid w:val="009C4D01"/>
    <w:rsid w:val="009C7135"/>
    <w:rsid w:val="009D32CE"/>
    <w:rsid w:val="009D3FB3"/>
    <w:rsid w:val="00A022D0"/>
    <w:rsid w:val="00A10371"/>
    <w:rsid w:val="00A15A92"/>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57294"/>
    <w:rsid w:val="00B62F40"/>
    <w:rsid w:val="00B749E5"/>
    <w:rsid w:val="00B7660D"/>
    <w:rsid w:val="00B82D7E"/>
    <w:rsid w:val="00B8493D"/>
    <w:rsid w:val="00B932C8"/>
    <w:rsid w:val="00BA5872"/>
    <w:rsid w:val="00BA5CB4"/>
    <w:rsid w:val="00BB0A14"/>
    <w:rsid w:val="00BB145C"/>
    <w:rsid w:val="00BB4C09"/>
    <w:rsid w:val="00BB6035"/>
    <w:rsid w:val="00BC1FD2"/>
    <w:rsid w:val="00BC5666"/>
    <w:rsid w:val="00BD1D4D"/>
    <w:rsid w:val="00C21A9D"/>
    <w:rsid w:val="00C62C13"/>
    <w:rsid w:val="00C6330E"/>
    <w:rsid w:val="00C83EEA"/>
    <w:rsid w:val="00C965F6"/>
    <w:rsid w:val="00CA71CC"/>
    <w:rsid w:val="00CC768D"/>
    <w:rsid w:val="00CD6137"/>
    <w:rsid w:val="00CF24A0"/>
    <w:rsid w:val="00CF6420"/>
    <w:rsid w:val="00D031D8"/>
    <w:rsid w:val="00D033F3"/>
    <w:rsid w:val="00D3088C"/>
    <w:rsid w:val="00D34FA7"/>
    <w:rsid w:val="00D51444"/>
    <w:rsid w:val="00D6121A"/>
    <w:rsid w:val="00D62111"/>
    <w:rsid w:val="00D624A5"/>
    <w:rsid w:val="00D62772"/>
    <w:rsid w:val="00DA4C47"/>
    <w:rsid w:val="00DC2A23"/>
    <w:rsid w:val="00DD7B76"/>
    <w:rsid w:val="00DE4EA5"/>
    <w:rsid w:val="00DF55D1"/>
    <w:rsid w:val="00E16BE8"/>
    <w:rsid w:val="00E205D2"/>
    <w:rsid w:val="00E20F24"/>
    <w:rsid w:val="00E231D6"/>
    <w:rsid w:val="00E36172"/>
    <w:rsid w:val="00E62930"/>
    <w:rsid w:val="00E74521"/>
    <w:rsid w:val="00E9496E"/>
    <w:rsid w:val="00E94F92"/>
    <w:rsid w:val="00EB462A"/>
    <w:rsid w:val="00EC2B80"/>
    <w:rsid w:val="00EC43F2"/>
    <w:rsid w:val="00EE1372"/>
    <w:rsid w:val="00EE7E1B"/>
    <w:rsid w:val="00EF36B4"/>
    <w:rsid w:val="00F2189F"/>
    <w:rsid w:val="00F3491A"/>
    <w:rsid w:val="00F35718"/>
    <w:rsid w:val="00F37233"/>
    <w:rsid w:val="00F47EFE"/>
    <w:rsid w:val="00F64F83"/>
    <w:rsid w:val="00F7495E"/>
    <w:rsid w:val="00F86B97"/>
    <w:rsid w:val="00F904BF"/>
    <w:rsid w:val="00FB12D5"/>
    <w:rsid w:val="00FB2EBF"/>
    <w:rsid w:val="00FB3D4F"/>
    <w:rsid w:val="00FB7FAC"/>
    <w:rsid w:val="00FC00E1"/>
    <w:rsid w:val="00FC166D"/>
    <w:rsid w:val="00FD02D8"/>
    <w:rsid w:val="00FF1A9F"/>
    <w:rsid w:val="00FF658E"/>
    <w:rsid w:val="00FF75C2"/>
    <w:rsid w:val="01064ED7"/>
    <w:rsid w:val="02B04992"/>
    <w:rsid w:val="034755F0"/>
    <w:rsid w:val="035D241C"/>
    <w:rsid w:val="03D12BCA"/>
    <w:rsid w:val="04F2787B"/>
    <w:rsid w:val="05266A20"/>
    <w:rsid w:val="0541795A"/>
    <w:rsid w:val="054E7CD1"/>
    <w:rsid w:val="05D43962"/>
    <w:rsid w:val="07DE4C7A"/>
    <w:rsid w:val="086949AE"/>
    <w:rsid w:val="08811A5C"/>
    <w:rsid w:val="0976230E"/>
    <w:rsid w:val="0A3D630E"/>
    <w:rsid w:val="0AC72C95"/>
    <w:rsid w:val="0AD425F9"/>
    <w:rsid w:val="0CF458FD"/>
    <w:rsid w:val="0D027E89"/>
    <w:rsid w:val="0E395175"/>
    <w:rsid w:val="0EF07023"/>
    <w:rsid w:val="106A30F3"/>
    <w:rsid w:val="13016401"/>
    <w:rsid w:val="14FD6733"/>
    <w:rsid w:val="173166B8"/>
    <w:rsid w:val="178F5305"/>
    <w:rsid w:val="17A92121"/>
    <w:rsid w:val="17D468F4"/>
    <w:rsid w:val="18B86AB2"/>
    <w:rsid w:val="196E264E"/>
    <w:rsid w:val="1AF44BD8"/>
    <w:rsid w:val="1B4A2CAF"/>
    <w:rsid w:val="1CAF43B1"/>
    <w:rsid w:val="1D246E55"/>
    <w:rsid w:val="1D9C2DCA"/>
    <w:rsid w:val="1DA90861"/>
    <w:rsid w:val="1DB85381"/>
    <w:rsid w:val="1E7476C9"/>
    <w:rsid w:val="200E15B3"/>
    <w:rsid w:val="211667CB"/>
    <w:rsid w:val="21530B74"/>
    <w:rsid w:val="23591758"/>
    <w:rsid w:val="239B50D7"/>
    <w:rsid w:val="245F6077"/>
    <w:rsid w:val="2471176E"/>
    <w:rsid w:val="24DB4525"/>
    <w:rsid w:val="258973A9"/>
    <w:rsid w:val="2591376E"/>
    <w:rsid w:val="25E6213B"/>
    <w:rsid w:val="263C168D"/>
    <w:rsid w:val="269902DF"/>
    <w:rsid w:val="27265D89"/>
    <w:rsid w:val="275746DD"/>
    <w:rsid w:val="27600519"/>
    <w:rsid w:val="279B1CED"/>
    <w:rsid w:val="295B2467"/>
    <w:rsid w:val="2A364AB6"/>
    <w:rsid w:val="2A811409"/>
    <w:rsid w:val="2AA26EDD"/>
    <w:rsid w:val="2AD95FAF"/>
    <w:rsid w:val="2C03598D"/>
    <w:rsid w:val="2D9B02C5"/>
    <w:rsid w:val="2E027CBC"/>
    <w:rsid w:val="30455855"/>
    <w:rsid w:val="31785F6E"/>
    <w:rsid w:val="31B5299E"/>
    <w:rsid w:val="32741A14"/>
    <w:rsid w:val="32E10D6E"/>
    <w:rsid w:val="338D6A75"/>
    <w:rsid w:val="33E402A7"/>
    <w:rsid w:val="342C2E72"/>
    <w:rsid w:val="35621FD3"/>
    <w:rsid w:val="37621267"/>
    <w:rsid w:val="37D537C3"/>
    <w:rsid w:val="391E7A5F"/>
    <w:rsid w:val="3BC43568"/>
    <w:rsid w:val="3C6D1C18"/>
    <w:rsid w:val="3C985365"/>
    <w:rsid w:val="3F335FA5"/>
    <w:rsid w:val="40ED03F5"/>
    <w:rsid w:val="41554831"/>
    <w:rsid w:val="42F77C98"/>
    <w:rsid w:val="43171516"/>
    <w:rsid w:val="44FC29CD"/>
    <w:rsid w:val="45A75901"/>
    <w:rsid w:val="45B85EB7"/>
    <w:rsid w:val="46022F6A"/>
    <w:rsid w:val="47784399"/>
    <w:rsid w:val="49E071E3"/>
    <w:rsid w:val="4A240FA5"/>
    <w:rsid w:val="4B774B0B"/>
    <w:rsid w:val="4C30095A"/>
    <w:rsid w:val="4C3345A7"/>
    <w:rsid w:val="4D683FE0"/>
    <w:rsid w:val="4E74734C"/>
    <w:rsid w:val="4F797014"/>
    <w:rsid w:val="508D765E"/>
    <w:rsid w:val="50C577DA"/>
    <w:rsid w:val="538D6631"/>
    <w:rsid w:val="54502155"/>
    <w:rsid w:val="54ED6B2C"/>
    <w:rsid w:val="550C1E0A"/>
    <w:rsid w:val="562C7D95"/>
    <w:rsid w:val="571C24F6"/>
    <w:rsid w:val="57F047FE"/>
    <w:rsid w:val="58747712"/>
    <w:rsid w:val="594B4499"/>
    <w:rsid w:val="5CD25C98"/>
    <w:rsid w:val="5F5B265B"/>
    <w:rsid w:val="5F9266A4"/>
    <w:rsid w:val="60182BAD"/>
    <w:rsid w:val="6105263C"/>
    <w:rsid w:val="6138315C"/>
    <w:rsid w:val="623E68BF"/>
    <w:rsid w:val="62833D3F"/>
    <w:rsid w:val="62D918F0"/>
    <w:rsid w:val="6378393C"/>
    <w:rsid w:val="63F123EB"/>
    <w:rsid w:val="643B27E7"/>
    <w:rsid w:val="64AC6C6D"/>
    <w:rsid w:val="64C3605F"/>
    <w:rsid w:val="64EF34AE"/>
    <w:rsid w:val="65281682"/>
    <w:rsid w:val="6764139C"/>
    <w:rsid w:val="6789792E"/>
    <w:rsid w:val="67F13AD3"/>
    <w:rsid w:val="690F337D"/>
    <w:rsid w:val="6A5346D7"/>
    <w:rsid w:val="6AEF3121"/>
    <w:rsid w:val="6BC356B8"/>
    <w:rsid w:val="6C4558CD"/>
    <w:rsid w:val="6C6670FC"/>
    <w:rsid w:val="6D3E2631"/>
    <w:rsid w:val="704979B6"/>
    <w:rsid w:val="71313099"/>
    <w:rsid w:val="71536BC6"/>
    <w:rsid w:val="716A0F98"/>
    <w:rsid w:val="718D384E"/>
    <w:rsid w:val="7215000D"/>
    <w:rsid w:val="727609EA"/>
    <w:rsid w:val="72FF6643"/>
    <w:rsid w:val="734B05C2"/>
    <w:rsid w:val="7414378F"/>
    <w:rsid w:val="749E6E45"/>
    <w:rsid w:val="74C507FC"/>
    <w:rsid w:val="75421228"/>
    <w:rsid w:val="75963FB7"/>
    <w:rsid w:val="7703566A"/>
    <w:rsid w:val="78165F38"/>
    <w:rsid w:val="7834282C"/>
    <w:rsid w:val="79076C0C"/>
    <w:rsid w:val="79172FB5"/>
    <w:rsid w:val="794C523A"/>
    <w:rsid w:val="79890041"/>
    <w:rsid w:val="7B46402D"/>
    <w:rsid w:val="7BE9522B"/>
    <w:rsid w:val="7DD04BAF"/>
    <w:rsid w:val="7DE1518D"/>
    <w:rsid w:val="7E0E00FB"/>
    <w:rsid w:val="7E24255E"/>
    <w:rsid w:val="7F1B59B5"/>
    <w:rsid w:val="7F931642"/>
    <w:rsid w:val="7FEF40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locked/>
    <w:uiPriority w:val="0"/>
    <w:pPr>
      <w:keepNext/>
      <w:keepLines/>
      <w:spacing w:line="416" w:lineRule="auto"/>
      <w:outlineLvl w:val="1"/>
    </w:pPr>
    <w:rPr>
      <w:rFonts w:ascii="Arial" w:hAnsi="Arial" w:eastAsia="黑体"/>
      <w:b/>
      <w:bCs/>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99"/>
    <w:pPr>
      <w:spacing w:line="520" w:lineRule="exact"/>
      <w:ind w:firstLine="624"/>
    </w:pPr>
    <w:rPr>
      <w:rFonts w:eastAsia="宋体"/>
      <w:sz w:val="28"/>
      <w:szCs w:val="20"/>
    </w:rPr>
  </w:style>
  <w:style w:type="paragraph" w:styleId="4">
    <w:name w:val="annotation text"/>
    <w:basedOn w:val="1"/>
    <w:link w:val="32"/>
    <w:semiHidden/>
    <w:qFormat/>
    <w:locked/>
    <w:uiPriority w:val="99"/>
    <w:pPr>
      <w:jc w:val="left"/>
    </w:pPr>
    <w:rPr>
      <w:kern w:val="0"/>
      <w:szCs w:val="20"/>
    </w:rPr>
  </w:style>
  <w:style w:type="paragraph" w:styleId="5">
    <w:name w:val="Body Text"/>
    <w:basedOn w:val="1"/>
    <w:link w:val="18"/>
    <w:qFormat/>
    <w:uiPriority w:val="99"/>
    <w:pPr>
      <w:spacing w:after="120"/>
    </w:pPr>
    <w:rPr>
      <w:kern w:val="0"/>
      <w:szCs w:val="20"/>
    </w:rPr>
  </w:style>
  <w:style w:type="paragraph" w:styleId="6">
    <w:name w:val="Body Text Indent"/>
    <w:basedOn w:val="1"/>
    <w:link w:val="19"/>
    <w:qFormat/>
    <w:uiPriority w:val="99"/>
    <w:pPr>
      <w:spacing w:after="120"/>
      <w:ind w:left="420" w:leftChars="200"/>
    </w:pPr>
    <w:rPr>
      <w:szCs w:val="20"/>
    </w:rPr>
  </w:style>
  <w:style w:type="paragraph" w:styleId="7">
    <w:name w:val="Plain Text"/>
    <w:basedOn w:val="1"/>
    <w:link w:val="25"/>
    <w:qFormat/>
    <w:uiPriority w:val="99"/>
    <w:rPr>
      <w:rFonts w:ascii="宋体" w:hAnsi="Courier New"/>
      <w:sz w:val="28"/>
      <w:szCs w:val="20"/>
    </w:rPr>
  </w:style>
  <w:style w:type="paragraph" w:styleId="8">
    <w:name w:val="Balloon Text"/>
    <w:basedOn w:val="1"/>
    <w:link w:val="34"/>
    <w:semiHidden/>
    <w:qFormat/>
    <w:locked/>
    <w:uiPriority w:val="99"/>
    <w:rPr>
      <w:kern w:val="0"/>
      <w:sz w:val="2"/>
      <w:szCs w:val="20"/>
    </w:rPr>
  </w:style>
  <w:style w:type="paragraph" w:styleId="9">
    <w:name w:val="footer"/>
    <w:basedOn w:val="1"/>
    <w:link w:val="21"/>
    <w:qFormat/>
    <w:uiPriority w:val="99"/>
    <w:pPr>
      <w:tabs>
        <w:tab w:val="center" w:pos="4153"/>
        <w:tab w:val="right" w:pos="8306"/>
      </w:tabs>
      <w:snapToGrid w:val="0"/>
      <w:jc w:val="left"/>
    </w:pPr>
    <w:rPr>
      <w:kern w:val="0"/>
      <w:sz w:val="18"/>
      <w:szCs w:val="20"/>
    </w:rPr>
  </w:style>
  <w:style w:type="paragraph" w:styleId="10">
    <w:name w:val="header"/>
    <w:basedOn w:val="1"/>
    <w:link w:val="22"/>
    <w:qFormat/>
    <w:uiPriority w:val="99"/>
    <w:pPr>
      <w:pBdr>
        <w:bottom w:val="thickThinSmallGap" w:color="auto" w:sz="24" w:space="1"/>
      </w:pBdr>
      <w:tabs>
        <w:tab w:val="center" w:pos="4153"/>
        <w:tab w:val="right" w:pos="8306"/>
      </w:tabs>
      <w:snapToGrid w:val="0"/>
      <w:jc w:val="center"/>
    </w:pPr>
    <w:rPr>
      <w:kern w:val="0"/>
      <w:sz w:val="18"/>
      <w:szCs w:val="20"/>
    </w:rPr>
  </w:style>
  <w:style w:type="paragraph" w:styleId="11">
    <w:name w:val="annotation subject"/>
    <w:basedOn w:val="4"/>
    <w:next w:val="4"/>
    <w:link w:val="33"/>
    <w:semiHidden/>
    <w:qFormat/>
    <w:locked/>
    <w:uiPriority w:val="99"/>
    <w:rPr>
      <w:b/>
    </w:rPr>
  </w:style>
  <w:style w:type="paragraph" w:styleId="12">
    <w:name w:val="Body Text First Indent 2"/>
    <w:basedOn w:val="6"/>
    <w:link w:val="31"/>
    <w:qFormat/>
    <w:locked/>
    <w:uiPriority w:val="99"/>
    <w:pPr>
      <w:ind w:firstLine="420" w:firstLineChars="200"/>
    </w:pPr>
  </w:style>
  <w:style w:type="character" w:styleId="15">
    <w:name w:val="page number"/>
    <w:basedOn w:val="14"/>
    <w:qFormat/>
    <w:uiPriority w:val="99"/>
    <w:rPr>
      <w:rFonts w:cs="Times New Roman"/>
    </w:rPr>
  </w:style>
  <w:style w:type="character" w:styleId="16">
    <w:name w:val="annotation reference"/>
    <w:basedOn w:val="14"/>
    <w:qFormat/>
    <w:uiPriority w:val="99"/>
    <w:rPr>
      <w:rFonts w:cs="Times New Roman"/>
      <w:sz w:val="21"/>
    </w:rPr>
  </w:style>
  <w:style w:type="paragraph" w:customStyle="1" w:styleId="17">
    <w:name w:val="Default"/>
    <w:basedOn w:val="1"/>
    <w:next w:val="1"/>
    <w:qFormat/>
    <w:uiPriority w:val="99"/>
    <w:pPr>
      <w:autoSpaceDE w:val="0"/>
      <w:autoSpaceDN w:val="0"/>
      <w:jc w:val="left"/>
    </w:pPr>
    <w:rPr>
      <w:rFonts w:ascii="宋体" w:eastAsia="宋体"/>
      <w:color w:val="000000"/>
      <w:kern w:val="0"/>
      <w:sz w:val="24"/>
      <w:szCs w:val="24"/>
    </w:rPr>
  </w:style>
  <w:style w:type="character" w:customStyle="1" w:styleId="18">
    <w:name w:val="正文文本 字符"/>
    <w:basedOn w:val="14"/>
    <w:link w:val="5"/>
    <w:semiHidden/>
    <w:qFormat/>
    <w:locked/>
    <w:uiPriority w:val="99"/>
    <w:rPr>
      <w:rFonts w:ascii="Times New Roman" w:hAnsi="Times New Roman" w:eastAsia="仿宋_GB2312" w:cs="Times New Roman"/>
      <w:sz w:val="32"/>
    </w:rPr>
  </w:style>
  <w:style w:type="character" w:customStyle="1" w:styleId="19">
    <w:name w:val="正文文本缩进 字符"/>
    <w:basedOn w:val="14"/>
    <w:link w:val="6"/>
    <w:qFormat/>
    <w:locked/>
    <w:uiPriority w:val="99"/>
    <w:rPr>
      <w:rFonts w:eastAsia="仿宋_GB2312" w:cs="Times New Roman"/>
      <w:kern w:val="2"/>
      <w:sz w:val="32"/>
    </w:rPr>
  </w:style>
  <w:style w:type="character" w:customStyle="1" w:styleId="20">
    <w:name w:val="Plain Text Char"/>
    <w:basedOn w:val="14"/>
    <w:qFormat/>
    <w:locked/>
    <w:uiPriority w:val="99"/>
    <w:rPr>
      <w:rFonts w:ascii="宋体" w:hAnsi="Courier New" w:cs="Times New Roman"/>
      <w:kern w:val="2"/>
      <w:sz w:val="21"/>
    </w:rPr>
  </w:style>
  <w:style w:type="character" w:customStyle="1" w:styleId="21">
    <w:name w:val="页脚 字符"/>
    <w:basedOn w:val="14"/>
    <w:link w:val="9"/>
    <w:semiHidden/>
    <w:qFormat/>
    <w:locked/>
    <w:uiPriority w:val="99"/>
    <w:rPr>
      <w:rFonts w:ascii="Times New Roman" w:hAnsi="Times New Roman" w:eastAsia="仿宋_GB2312" w:cs="Times New Roman"/>
      <w:sz w:val="18"/>
    </w:rPr>
  </w:style>
  <w:style w:type="character" w:customStyle="1" w:styleId="22">
    <w:name w:val="页眉 字符"/>
    <w:basedOn w:val="14"/>
    <w:link w:val="10"/>
    <w:semiHidden/>
    <w:qFormat/>
    <w:locked/>
    <w:uiPriority w:val="99"/>
    <w:rPr>
      <w:rFonts w:ascii="Times New Roman" w:hAnsi="Times New Roman" w:eastAsia="仿宋_GB2312" w:cs="Times New Roman"/>
      <w:sz w:val="18"/>
    </w:rPr>
  </w:style>
  <w:style w:type="paragraph" w:customStyle="1" w:styleId="23">
    <w:name w:val="表内文字"/>
    <w:basedOn w:val="1"/>
    <w:qFormat/>
    <w:uiPriority w:val="99"/>
    <w:pPr>
      <w:widowControl/>
      <w:adjustRightInd w:val="0"/>
      <w:snapToGrid w:val="0"/>
      <w:spacing w:line="240" w:lineRule="atLeast"/>
      <w:jc w:val="center"/>
    </w:pPr>
    <w:rPr>
      <w:rFonts w:eastAsia="宋体"/>
      <w:kern w:val="0"/>
      <w:sz w:val="21"/>
      <w:szCs w:val="20"/>
    </w:rPr>
  </w:style>
  <w:style w:type="paragraph" w:customStyle="1" w:styleId="24">
    <w:name w:val="9"/>
    <w:basedOn w:val="1"/>
    <w:qFormat/>
    <w:uiPriority w:val="99"/>
    <w:pPr>
      <w:spacing w:line="460" w:lineRule="exact"/>
      <w:ind w:firstLine="480" w:firstLineChars="200"/>
    </w:pPr>
    <w:rPr>
      <w:rFonts w:ascii="宋体" w:hAnsi="宋体" w:eastAsia="宋体"/>
      <w:bCs/>
      <w:sz w:val="24"/>
      <w:szCs w:val="24"/>
    </w:rPr>
  </w:style>
  <w:style w:type="character" w:customStyle="1" w:styleId="25">
    <w:name w:val="纯文本 字符"/>
    <w:link w:val="7"/>
    <w:qFormat/>
    <w:locked/>
    <w:uiPriority w:val="99"/>
    <w:rPr>
      <w:rFonts w:ascii="宋体" w:hAnsi="Courier New" w:eastAsia="仿宋_GB2312"/>
      <w:kern w:val="2"/>
      <w:sz w:val="28"/>
    </w:rPr>
  </w:style>
  <w:style w:type="paragraph" w:customStyle="1" w:styleId="26">
    <w:name w:val="正文格式"/>
    <w:link w:val="27"/>
    <w:qFormat/>
    <w:uiPriority w:val="99"/>
    <w:pPr>
      <w:spacing w:line="360" w:lineRule="auto"/>
      <w:ind w:firstLine="200" w:firstLineChars="200"/>
    </w:pPr>
    <w:rPr>
      <w:rFonts w:ascii="宋体" w:hAnsi="Times New Roman" w:eastAsia="宋体" w:cs="Times New Roman"/>
      <w:color w:val="000000"/>
      <w:w w:val="110"/>
      <w:sz w:val="22"/>
      <w:szCs w:val="22"/>
      <w:lang w:val="en-US" w:eastAsia="zh-CN" w:bidi="ar-SA"/>
    </w:rPr>
  </w:style>
  <w:style w:type="character" w:customStyle="1" w:styleId="27">
    <w:name w:val="正文格式 Char Char"/>
    <w:link w:val="26"/>
    <w:qFormat/>
    <w:locked/>
    <w:uiPriority w:val="99"/>
    <w:rPr>
      <w:rFonts w:ascii="宋体"/>
      <w:color w:val="000000"/>
      <w:w w:val="110"/>
      <w:sz w:val="22"/>
    </w:rPr>
  </w:style>
  <w:style w:type="character" w:customStyle="1" w:styleId="28">
    <w:name w:val="正文缩进 字符"/>
    <w:link w:val="3"/>
    <w:qFormat/>
    <w:locked/>
    <w:uiPriority w:val="99"/>
    <w:rPr>
      <w:kern w:val="2"/>
      <w:sz w:val="28"/>
    </w:rPr>
  </w:style>
  <w:style w:type="paragraph" w:customStyle="1" w:styleId="29">
    <w:name w:val="表格内"/>
    <w:basedOn w:val="1"/>
    <w:qFormat/>
    <w:uiPriority w:val="99"/>
    <w:pPr>
      <w:adjustRightInd w:val="0"/>
      <w:spacing w:line="240" w:lineRule="atLeast"/>
      <w:jc w:val="center"/>
      <w:textAlignment w:val="baseline"/>
    </w:pPr>
    <w:rPr>
      <w:rFonts w:ascii="宋体"/>
      <w:kern w:val="0"/>
      <w:sz w:val="28"/>
      <w:szCs w:val="20"/>
    </w:rPr>
  </w:style>
  <w:style w:type="character" w:customStyle="1" w:styleId="30">
    <w:name w:val="15"/>
    <w:qFormat/>
    <w:uiPriority w:val="99"/>
    <w:rPr>
      <w:rFonts w:ascii="Times New Roman" w:hAnsi="Times New Roman"/>
    </w:rPr>
  </w:style>
  <w:style w:type="character" w:customStyle="1" w:styleId="31">
    <w:name w:val="正文首行缩进 2 字符"/>
    <w:basedOn w:val="19"/>
    <w:link w:val="12"/>
    <w:semiHidden/>
    <w:qFormat/>
    <w:locked/>
    <w:uiPriority w:val="99"/>
    <w:rPr>
      <w:rFonts w:eastAsia="仿宋_GB2312" w:cs="Times New Roman"/>
      <w:kern w:val="2"/>
      <w:sz w:val="32"/>
    </w:rPr>
  </w:style>
  <w:style w:type="character" w:customStyle="1" w:styleId="32">
    <w:name w:val="批注文字 字符"/>
    <w:basedOn w:val="14"/>
    <w:link w:val="4"/>
    <w:semiHidden/>
    <w:qFormat/>
    <w:locked/>
    <w:uiPriority w:val="99"/>
    <w:rPr>
      <w:rFonts w:eastAsia="仿宋_GB2312" w:cs="Times New Roman"/>
      <w:sz w:val="32"/>
    </w:rPr>
  </w:style>
  <w:style w:type="character" w:customStyle="1" w:styleId="33">
    <w:name w:val="批注主题 字符"/>
    <w:basedOn w:val="32"/>
    <w:link w:val="11"/>
    <w:semiHidden/>
    <w:qFormat/>
    <w:locked/>
    <w:uiPriority w:val="99"/>
    <w:rPr>
      <w:rFonts w:eastAsia="仿宋_GB2312" w:cs="Times New Roman"/>
      <w:b/>
      <w:sz w:val="32"/>
    </w:rPr>
  </w:style>
  <w:style w:type="character" w:customStyle="1" w:styleId="34">
    <w:name w:val="批注框文本 字符"/>
    <w:basedOn w:val="14"/>
    <w:link w:val="8"/>
    <w:semiHidden/>
    <w:qFormat/>
    <w:locked/>
    <w:uiPriority w:val="99"/>
    <w:rPr>
      <w:rFonts w:eastAsia="仿宋_GB2312"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388</Words>
  <Characters>2217</Characters>
  <Lines>18</Lines>
  <Paragraphs>5</Paragraphs>
  <TotalTime>170</TotalTime>
  <ScaleCrop>false</ScaleCrop>
  <LinksUpToDate>false</LinksUpToDate>
  <CharactersWithSpaces>2600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2021-09-22T05:31:00Z</dcterms:created>
  <dc:creator>Administrator</dc:creator>
  <cp:lastModifiedBy>love rain</cp:lastModifiedBy>
  <cp:lastPrinted>2021-10-11T10:32:58Z</cp:lastPrinted>
  <dcterms:modified xsi:type="dcterms:W3CDTF">2021-10-11T10:34:59Z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48297840901A43E5BB385B1C8BE7A7E3</vt:lpwstr>
  </property>
</Properties>
</file>