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rPr>
          <w:sz w:val="36"/>
        </w:rPr>
      </w:pPr>
    </w:p>
    <w:p>
      <w:pPr>
        <w:pStyle w:val="23"/>
        <w:rPr>
          <w:sz w:val="28"/>
        </w:rPr>
      </w:pPr>
    </w:p>
    <w:p>
      <w:pPr>
        <w:pStyle w:val="23"/>
        <w:spacing w:line="264" w:lineRule="auto"/>
        <w:rPr>
          <w:sz w:val="28"/>
        </w:rPr>
      </w:pPr>
    </w:p>
    <w:p>
      <w:pPr>
        <w:pStyle w:val="23"/>
        <w:spacing w:line="264" w:lineRule="auto"/>
        <w:rPr>
          <w:sz w:val="48"/>
          <w:szCs w:val="44"/>
        </w:rPr>
      </w:pPr>
    </w:p>
    <w:p>
      <w:pPr>
        <w:spacing w:line="560" w:lineRule="exact"/>
        <w:rPr>
          <w:sz w:val="52"/>
        </w:rPr>
      </w:pPr>
    </w:p>
    <w:p>
      <w:pPr>
        <w:adjustRightInd w:val="0"/>
        <w:snapToGrid w:val="0"/>
        <w:spacing w:line="640" w:lineRule="exact"/>
        <w:jc w:val="center"/>
        <w:rPr>
          <w:rFonts w:eastAsia="方正小标宋简体"/>
          <w:w w:val="95"/>
          <w:sz w:val="44"/>
          <w:szCs w:val="44"/>
        </w:rPr>
      </w:pPr>
      <w:bookmarkStart w:id="0" w:name="_GoBack"/>
      <w:bookmarkEnd w:id="0"/>
      <w:r>
        <w:pict>
          <v:shape id="_x0000_s1027" o:spid="_x0000_s1027" o:spt="202" type="#_x0000_t202" style="position:absolute;left:0pt;margin-left:99pt;margin-top:3.25pt;height:39.5pt;width:232.2pt;z-index:251659264;mso-width-relative:page;mso-height-relative:page;" stroked="t" coordsize="21600,21600" o:gfxdata="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ir+e2AAAAAoBAAAPAAAAAAAAAAEAIAAAACIA&#10;AABkcnMvZG93bnJldi54bWxQSwECFAAUAAAACACHTuJAHXW3eQkCAAA2BAAADgAAAAAAAAABACAA&#10;AAAnAQAAZHJzL2Uyb0RvYy54bWxQSwUGAAAAAAYABgBZAQAAogUAAAAA&#10;">
            <v:path/>
            <v:fill focussize="0,0"/>
            <v:stroke color="#FFFFFF" joinstyle="miter"/>
            <v:imagedata o:title=""/>
            <o:lock v:ext="edit"/>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2021</w:t>
                  </w:r>
                  <w:r>
                    <w:rPr>
                      <w:rFonts w:hint="eastAsia"/>
                    </w:rPr>
                    <w:t>〕</w:t>
                  </w:r>
                  <w:r>
                    <w:rPr>
                      <w:rFonts w:hint="eastAsia"/>
                      <w:lang w:val="en-US" w:eastAsia="zh-CN"/>
                    </w:rPr>
                    <w:t>65</w:t>
                  </w:r>
                  <w:r>
                    <w:rPr>
                      <w:rFonts w:hint="eastAsia"/>
                    </w:rPr>
                    <w:t>号</w:t>
                  </w:r>
                </w:p>
              </w:txbxContent>
            </v:textbox>
          </v:shape>
        </w:pict>
      </w:r>
    </w:p>
    <w:p>
      <w:pPr>
        <w:pStyle w:val="23"/>
      </w:pPr>
    </w:p>
    <w:p>
      <w:pPr>
        <w:adjustRightInd w:val="0"/>
        <w:snapToGrid w:val="0"/>
        <w:spacing w:line="640" w:lineRule="exact"/>
        <w:jc w:val="center"/>
        <w:rPr>
          <w:rFonts w:hint="eastAsia" w:eastAsia="方正小标宋简体"/>
          <w:w w:val="95"/>
          <w:sz w:val="44"/>
          <w:szCs w:val="44"/>
        </w:rPr>
      </w:pPr>
      <w:r>
        <w:rPr>
          <w:rFonts w:hint="eastAsia" w:eastAsia="方正小标宋简体"/>
          <w:w w:val="95"/>
          <w:sz w:val="44"/>
          <w:szCs w:val="44"/>
        </w:rPr>
        <w:t>关于阿拉尔市德顺包装有限公司纸箱包装项目</w:t>
      </w:r>
    </w:p>
    <w:p>
      <w:pPr>
        <w:adjustRightInd w:val="0"/>
        <w:snapToGrid w:val="0"/>
        <w:spacing w:line="640" w:lineRule="exact"/>
        <w:jc w:val="center"/>
        <w:rPr>
          <w:rFonts w:eastAsia="方正小标宋简体"/>
          <w:w w:val="95"/>
          <w:sz w:val="44"/>
          <w:szCs w:val="44"/>
        </w:rPr>
      </w:pPr>
      <w:r>
        <w:rPr>
          <w:rFonts w:hint="eastAsia" w:eastAsia="方正小标宋简体"/>
          <w:w w:val="95"/>
          <w:sz w:val="44"/>
          <w:szCs w:val="44"/>
        </w:rPr>
        <w:t>环境影响报告表的批复</w:t>
      </w:r>
    </w:p>
    <w:p>
      <w:pPr>
        <w:adjustRightInd w:val="0"/>
        <w:snapToGrid w:val="0"/>
        <w:spacing w:line="560" w:lineRule="exact"/>
      </w:pPr>
    </w:p>
    <w:p>
      <w:pPr>
        <w:adjustRightInd w:val="0"/>
        <w:spacing w:line="560" w:lineRule="exact"/>
        <w:rPr>
          <w:rFonts w:ascii="仿宋_GB2312" w:hAnsi="仿宋" w:cs="仿宋"/>
        </w:rPr>
      </w:pPr>
      <w:r>
        <w:rPr>
          <w:rFonts w:hint="eastAsia" w:ascii="仿宋_GB2312" w:hAnsi="仿宋"/>
          <w:color w:val="000000"/>
          <w:spacing w:val="-10"/>
        </w:rPr>
        <w:t>阿拉尔市德顺包装有限公司</w:t>
      </w:r>
      <w:r>
        <w:rPr>
          <w:rFonts w:hint="eastAsia" w:ascii="仿宋_GB2312" w:hAnsi="仿宋" w:cs="仿宋"/>
        </w:rPr>
        <w:t>：</w:t>
      </w:r>
    </w:p>
    <w:p>
      <w:pPr>
        <w:adjustRightInd w:val="0"/>
        <w:snapToGrid w:val="0"/>
        <w:spacing w:line="560" w:lineRule="exact"/>
        <w:ind w:firstLine="630"/>
        <w:rPr>
          <w:rFonts w:ascii="仿宋_GB2312"/>
        </w:rPr>
      </w:pPr>
      <w:r>
        <w:rPr>
          <w:rFonts w:hint="eastAsia" w:ascii="仿宋_GB2312"/>
        </w:rPr>
        <w:t>你单位报送的《关于送审</w:t>
      </w:r>
      <w:r>
        <w:rPr>
          <w:rFonts w:hint="eastAsia" w:ascii="仿宋_GB2312" w:hAnsi="仿宋"/>
          <w:color w:val="000000"/>
          <w:spacing w:val="-10"/>
        </w:rPr>
        <w:t>阿拉尔市德顺包装有限公司纸箱包装项目</w:t>
      </w:r>
      <w:r>
        <w:rPr>
          <w:rFonts w:hint="eastAsia" w:ascii="仿宋_GB2312" w:hAnsi="仿宋" w:cs="仿宋"/>
        </w:rPr>
        <w:t>环境影响报告表</w:t>
      </w:r>
      <w:r>
        <w:rPr>
          <w:rFonts w:hint="eastAsia" w:ascii="仿宋_GB2312"/>
        </w:rPr>
        <w:t>的请示》及《</w:t>
      </w:r>
      <w:r>
        <w:rPr>
          <w:rFonts w:hint="eastAsia" w:ascii="仿宋_GB2312" w:hAnsi="仿宋"/>
          <w:color w:val="000000"/>
          <w:spacing w:val="-10"/>
        </w:rPr>
        <w:t>阿拉尔市德顺包装有限公司纸箱包装项目</w:t>
      </w:r>
      <w:r>
        <w:rPr>
          <w:rFonts w:hint="eastAsia" w:ascii="仿宋_GB2312" w:hAnsi="仿宋" w:cs="仿宋"/>
        </w:rPr>
        <w:t>环境影响报告表</w:t>
      </w:r>
      <w:r>
        <w:rPr>
          <w:rFonts w:hint="eastAsia" w:ascii="仿宋_GB2312"/>
        </w:rPr>
        <w:t>》（以下简称“报告表”）收悉。经专家审查和研究，现批复如下：</w:t>
      </w:r>
    </w:p>
    <w:p>
      <w:pPr>
        <w:pStyle w:val="5"/>
        <w:adjustRightInd w:val="0"/>
        <w:snapToGrid w:val="0"/>
        <w:spacing w:after="0" w:line="560" w:lineRule="exact"/>
        <w:ind w:firstLine="610" w:firstLineChars="200"/>
        <w:rPr>
          <w:rFonts w:ascii="仿宋_GB2312"/>
        </w:rPr>
      </w:pPr>
      <w:r>
        <w:rPr>
          <w:rFonts w:hint="eastAsia" w:ascii="仿宋_GB2312"/>
        </w:rPr>
        <w:t>一、该项目选址位于阿拉尔经济技术开发区，</w:t>
      </w:r>
      <w:r>
        <w:rPr>
          <w:rFonts w:hint="eastAsia"/>
        </w:rPr>
        <w:t>厂区东侧为建华玻璃钢、西侧为俊峰建材、南侧为新夏水泥、北侧为海升路</w:t>
      </w:r>
      <w:r>
        <w:rPr>
          <w:rFonts w:ascii="仿宋_GB2312"/>
        </w:rPr>
        <w:t>,</w:t>
      </w:r>
      <w:r>
        <w:rPr>
          <w:rFonts w:hint="eastAsia" w:ascii="仿宋_GB2312"/>
        </w:rPr>
        <w:t>中心地理坐标为东经</w:t>
      </w:r>
      <w:r>
        <w:rPr>
          <w:rFonts w:ascii="仿宋_GB2312"/>
        </w:rPr>
        <w:t>81</w:t>
      </w:r>
      <w:r>
        <w:rPr>
          <w:rFonts w:hint="eastAsia" w:ascii="仿宋_GB2312"/>
        </w:rPr>
        <w:t>°</w:t>
      </w:r>
      <w:r>
        <w:rPr>
          <w:rFonts w:ascii="仿宋_GB2312"/>
        </w:rPr>
        <w:t>14</w:t>
      </w:r>
      <w:r>
        <w:rPr>
          <w:rFonts w:hint="eastAsia" w:ascii="仿宋_GB2312"/>
        </w:rPr>
        <w:t>′</w:t>
      </w:r>
      <w:r>
        <w:rPr>
          <w:rFonts w:ascii="仿宋_GB2312"/>
        </w:rPr>
        <w:t>48.291</w:t>
      </w:r>
      <w:r>
        <w:rPr>
          <w:rFonts w:hint="eastAsia" w:ascii="仿宋_GB2312"/>
        </w:rPr>
        <w:t>″</w:t>
      </w:r>
      <w:r>
        <w:rPr>
          <w:rFonts w:ascii="仿宋_GB2312"/>
        </w:rPr>
        <w:t>,</w:t>
      </w:r>
      <w:r>
        <w:rPr>
          <w:rFonts w:hint="eastAsia" w:ascii="仿宋_GB2312"/>
        </w:rPr>
        <w:t>北纬</w:t>
      </w:r>
      <w:r>
        <w:rPr>
          <w:rFonts w:ascii="仿宋_GB2312"/>
        </w:rPr>
        <w:t>40</w:t>
      </w:r>
      <w:r>
        <w:rPr>
          <w:rFonts w:hint="eastAsia" w:ascii="仿宋_GB2312"/>
        </w:rPr>
        <w:t>°</w:t>
      </w:r>
      <w:r>
        <w:rPr>
          <w:rFonts w:ascii="仿宋_GB2312"/>
        </w:rPr>
        <w:t>34</w:t>
      </w:r>
      <w:r>
        <w:rPr>
          <w:rFonts w:hint="eastAsia" w:ascii="仿宋_GB2312"/>
        </w:rPr>
        <w:t>′</w:t>
      </w:r>
      <w:r>
        <w:rPr>
          <w:rFonts w:ascii="仿宋_GB2312"/>
        </w:rPr>
        <w:t>36.143</w:t>
      </w:r>
      <w:r>
        <w:rPr>
          <w:rFonts w:hint="eastAsia" w:ascii="仿宋_GB2312"/>
        </w:rPr>
        <w:t>″。项目</w:t>
      </w:r>
      <w:r>
        <w:rPr>
          <w:rFonts w:hint="eastAsia" w:ascii="仿宋_GB2312" w:hAnsi="仿宋"/>
          <w:color w:val="000000"/>
        </w:rPr>
        <w:t>总占地</w:t>
      </w:r>
      <w:r>
        <w:rPr>
          <w:rFonts w:ascii="仿宋_GB2312" w:hAnsi="仿宋"/>
          <w:color w:val="000000"/>
        </w:rPr>
        <w:t>15966.28</w:t>
      </w:r>
      <w:r>
        <w:rPr>
          <w:rFonts w:hint="eastAsia" w:ascii="仿宋_GB2312" w:hAnsi="仿宋"/>
          <w:color w:val="000000"/>
        </w:rPr>
        <w:t>平方米，新建</w:t>
      </w:r>
      <w:r>
        <w:rPr>
          <w:rFonts w:ascii="仿宋_GB2312" w:hAnsi="仿宋"/>
          <w:color w:val="000000"/>
        </w:rPr>
        <w:t>2</w:t>
      </w:r>
      <w:r>
        <w:rPr>
          <w:rFonts w:hint="eastAsia" w:ascii="仿宋_GB2312" w:hAnsi="仿宋"/>
          <w:color w:val="000000"/>
        </w:rPr>
        <w:t>条包装用纸箱加工生产线，主要建设</w:t>
      </w:r>
      <w:r>
        <w:rPr>
          <w:rFonts w:ascii="仿宋_GB2312" w:hAnsi="仿宋"/>
          <w:color w:val="000000"/>
        </w:rPr>
        <w:t>2</w:t>
      </w:r>
      <w:r>
        <w:rPr>
          <w:rFonts w:hint="eastAsia" w:ascii="仿宋_GB2312" w:hAnsi="仿宋"/>
          <w:color w:val="000000"/>
        </w:rPr>
        <w:t>座生产车间、</w:t>
      </w:r>
      <w:r>
        <w:rPr>
          <w:rFonts w:ascii="仿宋_GB2312" w:hAnsi="仿宋"/>
          <w:color w:val="000000"/>
        </w:rPr>
        <w:t>1</w:t>
      </w:r>
      <w:r>
        <w:rPr>
          <w:rFonts w:hint="eastAsia" w:ascii="仿宋_GB2312" w:hAnsi="仿宋"/>
          <w:color w:val="000000"/>
        </w:rPr>
        <w:t>座原料库、</w:t>
      </w:r>
      <w:r>
        <w:rPr>
          <w:rFonts w:ascii="仿宋_GB2312" w:hAnsi="仿宋"/>
          <w:color w:val="000000"/>
        </w:rPr>
        <w:t>1</w:t>
      </w:r>
      <w:r>
        <w:rPr>
          <w:rFonts w:hint="eastAsia" w:ascii="仿宋_GB2312" w:hAnsi="仿宋"/>
          <w:color w:val="000000"/>
        </w:rPr>
        <w:t>座成品库和</w:t>
      </w:r>
      <w:r>
        <w:rPr>
          <w:rFonts w:ascii="仿宋_GB2312" w:hAnsi="仿宋"/>
          <w:color w:val="000000"/>
        </w:rPr>
        <w:t>1</w:t>
      </w:r>
      <w:r>
        <w:rPr>
          <w:rFonts w:hint="eastAsia" w:ascii="仿宋_GB2312" w:hAnsi="仿宋"/>
          <w:color w:val="000000"/>
        </w:rPr>
        <w:t>座综合用房，配套建设辅助工程、公用工程和环保工程。</w:t>
      </w:r>
      <w:r>
        <w:rPr>
          <w:rFonts w:hint="eastAsia" w:ascii="仿宋_GB2312"/>
        </w:rPr>
        <w:t>项目总投资</w:t>
      </w:r>
      <w:r>
        <w:rPr>
          <w:rFonts w:ascii="仿宋_GB2312"/>
        </w:rPr>
        <w:t>3850</w:t>
      </w:r>
      <w:r>
        <w:rPr>
          <w:rFonts w:hint="eastAsia" w:ascii="仿宋_GB2312"/>
        </w:rPr>
        <w:t>万元，其中环保投资</w:t>
      </w:r>
      <w:r>
        <w:rPr>
          <w:rFonts w:ascii="仿宋_GB2312"/>
        </w:rPr>
        <w:t>165</w:t>
      </w:r>
      <w:r>
        <w:rPr>
          <w:rFonts w:hint="eastAsia" w:ascii="仿宋_GB2312"/>
        </w:rPr>
        <w:t>万元，占总投资的</w:t>
      </w:r>
      <w:r>
        <w:rPr>
          <w:rFonts w:ascii="仿宋_GB2312"/>
        </w:rPr>
        <w:t>4.29</w:t>
      </w:r>
      <w:r>
        <w:rPr>
          <w:rFonts w:hint="eastAsia" w:ascii="仿宋_GB2312"/>
        </w:rPr>
        <w:t>％。</w:t>
      </w:r>
    </w:p>
    <w:p>
      <w:pPr>
        <w:adjustRightInd w:val="0"/>
        <w:snapToGrid w:val="0"/>
        <w:spacing w:line="560" w:lineRule="exact"/>
        <w:ind w:firstLine="610" w:firstLineChars="200"/>
        <w:rPr>
          <w:rFonts w:ascii="仿宋_GB2312"/>
        </w:rPr>
      </w:pPr>
      <w:r>
        <w:rPr>
          <w:rFonts w:hint="eastAsia" w:ascii="仿宋_GB2312"/>
        </w:rPr>
        <w:t>二、该项目为纸制品制造项目，生产工艺为：原料纸→压制瓦楞</w:t>
      </w:r>
      <w:r>
        <w:rPr>
          <w:rFonts w:hint="eastAsia" w:ascii="仿宋_GB2312" w:hAnsi="仿宋"/>
        </w:rPr>
        <w:t>→瓦楞纸板</w:t>
      </w:r>
      <w:r>
        <w:rPr>
          <w:rFonts w:hint="eastAsia" w:ascii="仿宋_GB2312"/>
        </w:rPr>
        <w:t>，</w:t>
      </w:r>
      <w:r>
        <w:rPr>
          <w:rFonts w:hint="eastAsia" w:ascii="仿宋_GB2312" w:hAnsi="仿宋"/>
        </w:rPr>
        <w:t>纸箱面纸→印刷→印刷面纸，瓦楞纸板和印刷面纸</w:t>
      </w:r>
      <w:r>
        <w:rPr>
          <w:rFonts w:hint="eastAsia" w:ascii="仿宋_GB2312"/>
        </w:rPr>
        <w:t>→对裱→</w:t>
      </w:r>
      <w:r>
        <w:rPr>
          <w:rFonts w:hint="eastAsia" w:ascii="仿宋_GB2312" w:hAnsi="仿宋"/>
          <w:color w:val="000000"/>
        </w:rPr>
        <w:t>膜切</w:t>
      </w:r>
      <w:r>
        <w:rPr>
          <w:rFonts w:hint="eastAsia" w:ascii="仿宋_GB2312"/>
        </w:rPr>
        <w:t>→</w:t>
      </w:r>
      <w:r>
        <w:rPr>
          <w:rFonts w:hint="eastAsia" w:ascii="仿宋_GB2312" w:hAnsi="仿宋"/>
          <w:color w:val="000000"/>
        </w:rPr>
        <w:t>粘钉</w:t>
      </w:r>
      <w:r>
        <w:rPr>
          <w:rFonts w:hint="eastAsia" w:ascii="仿宋_GB2312"/>
        </w:rPr>
        <w:t>→成品外售，我局原则同意报告表的结论。</w:t>
      </w:r>
      <w:r>
        <w:rPr>
          <w:rFonts w:hint="eastAsia" w:ascii="仿宋_GB2312"/>
          <w:color w:val="000000"/>
        </w:rPr>
        <w:t>项</w:t>
      </w:r>
      <w:r>
        <w:rPr>
          <w:rFonts w:hint="eastAsia" w:ascii="仿宋_GB2312"/>
        </w:rPr>
        <w:t>目经投资主管部门依法审批后，你单位须严格按照报告表所列建设项目的性质、规模、地点、工艺和环境保护对策措施实施项目建设和运营。</w:t>
      </w:r>
    </w:p>
    <w:p>
      <w:pPr>
        <w:snapToGrid w:val="0"/>
        <w:spacing w:line="560" w:lineRule="exact"/>
        <w:ind w:firstLine="610" w:firstLineChars="200"/>
        <w:rPr>
          <w:rFonts w:ascii="仿宋_GB2312"/>
        </w:rPr>
      </w:pPr>
      <w:r>
        <w:rPr>
          <w:rFonts w:hint="eastAsia" w:ascii="仿宋_GB2312"/>
        </w:rPr>
        <w:t>三、你单位在建设和运营中，应严格执行有关环境质量标准和污染物排放标准，认真、全面落实报告表提出的各项环保对策措施要求，确保污染物达标排放和各环境敏感点满足相应功能要求，加强生态保护工作，重点做好以下工作：</w:t>
      </w:r>
    </w:p>
    <w:p>
      <w:pPr>
        <w:snapToGrid w:val="0"/>
        <w:spacing w:line="560" w:lineRule="exact"/>
        <w:ind w:firstLine="610" w:firstLineChars="200"/>
        <w:rPr>
          <w:rFonts w:ascii="仿宋_GB2312"/>
        </w:rPr>
      </w:pPr>
      <w:r>
        <w:rPr>
          <w:rFonts w:hint="eastAsia" w:ascii="仿宋_GB2312"/>
        </w:rPr>
        <w:t>（一）认真落实施工期环境保护措施。做好施工期过程中降噪、防尘措施、施工固废清理和</w:t>
      </w:r>
      <w:r>
        <w:rPr>
          <w:rFonts w:hint="eastAsia" w:ascii="仿宋_GB2312"/>
          <w:bCs/>
        </w:rPr>
        <w:t>水土保持、防沙治沙等</w:t>
      </w:r>
      <w:r>
        <w:rPr>
          <w:rFonts w:hint="eastAsia" w:ascii="仿宋_GB2312"/>
        </w:rPr>
        <w:t>生态保护措施，妥善处置施工废弃物、生活垃圾及生活污水。</w:t>
      </w:r>
    </w:p>
    <w:p>
      <w:pPr>
        <w:adjustRightInd w:val="0"/>
        <w:snapToGrid w:val="0"/>
        <w:spacing w:line="560" w:lineRule="exact"/>
        <w:ind w:firstLine="610" w:firstLineChars="200"/>
        <w:rPr>
          <w:rFonts w:ascii="仿宋_GB2312" w:hAnsi="仿宋" w:cs="仿宋"/>
          <w:color w:val="000000"/>
        </w:rPr>
      </w:pPr>
      <w:r>
        <w:rPr>
          <w:rFonts w:hint="eastAsia" w:ascii="仿宋_GB2312"/>
        </w:rPr>
        <w:t>（二）严格落实大气污染防治措施。</w:t>
      </w:r>
      <w:r>
        <w:rPr>
          <w:rFonts w:hint="eastAsia" w:ascii="仿宋_GB2312" w:hAnsi="仿宋" w:cs="仿宋"/>
        </w:rPr>
        <w:t>该项目运营期大气污染物主要为印刷、粘胶过程产生的非甲烷总烃、切割产生的粉尘和食堂烹饪产生的油烟。印刷、粘胶废气经</w:t>
      </w:r>
      <w:r>
        <w:rPr>
          <w:rFonts w:hint="eastAsia" w:ascii="仿宋_GB2312" w:hAnsi="仿宋" w:cs="仿宋"/>
          <w:bCs/>
        </w:rPr>
        <w:t>“集气罩</w:t>
      </w:r>
      <w:r>
        <w:rPr>
          <w:rFonts w:ascii="仿宋_GB2312" w:hAnsi="仿宋" w:cs="仿宋"/>
          <w:bCs/>
        </w:rPr>
        <w:t>+</w:t>
      </w:r>
      <w:r>
        <w:rPr>
          <w:rFonts w:hint="eastAsia" w:ascii="仿宋_GB2312" w:hAnsi="仿宋" w:cs="仿宋"/>
          <w:bCs/>
        </w:rPr>
        <w:t>活性炭吸附</w:t>
      </w:r>
      <w:r>
        <w:rPr>
          <w:rFonts w:ascii="仿宋_GB2312" w:hAnsi="仿宋" w:cs="仿宋"/>
          <w:bCs/>
        </w:rPr>
        <w:t>+15</w:t>
      </w:r>
      <w:r>
        <w:rPr>
          <w:rFonts w:hint="eastAsia" w:ascii="仿宋_GB2312" w:hAnsi="仿宋" w:cs="仿宋"/>
          <w:bCs/>
        </w:rPr>
        <w:t>米高排气筒”处理及排放，废气中非甲烷总烃排放满足</w:t>
      </w:r>
      <w:r>
        <w:rPr>
          <w:rFonts w:hint="eastAsia" w:ascii="仿宋_GB2312" w:hAnsi="仿宋"/>
          <w:bCs/>
          <w:color w:val="000000"/>
        </w:rPr>
        <w:t>《大气污染物综合排放标准》（</w:t>
      </w:r>
      <w:r>
        <w:rPr>
          <w:rFonts w:ascii="仿宋_GB2312" w:hAnsi="仿宋"/>
          <w:bCs/>
          <w:color w:val="000000"/>
        </w:rPr>
        <w:t>GB16297-1996</w:t>
      </w:r>
      <w:r>
        <w:rPr>
          <w:rFonts w:hint="eastAsia" w:ascii="仿宋_GB2312" w:hAnsi="仿宋"/>
          <w:bCs/>
          <w:color w:val="000000"/>
        </w:rPr>
        <w:t>）表</w:t>
      </w:r>
      <w:r>
        <w:rPr>
          <w:rFonts w:ascii="仿宋_GB2312" w:hAnsi="仿宋"/>
          <w:bCs/>
          <w:color w:val="000000"/>
        </w:rPr>
        <w:t>2</w:t>
      </w:r>
      <w:r>
        <w:rPr>
          <w:rFonts w:hint="eastAsia" w:ascii="仿宋_GB2312" w:hAnsi="仿宋"/>
          <w:bCs/>
          <w:color w:val="000000"/>
        </w:rPr>
        <w:t>新污染源大气污染物排放限值要求</w:t>
      </w:r>
      <w:r>
        <w:rPr>
          <w:rFonts w:hint="eastAsia" w:ascii="仿宋_GB2312" w:hAnsi="仿宋" w:cs="仿宋"/>
          <w:bCs/>
        </w:rPr>
        <w:t>；切割废气经“集气罩</w:t>
      </w:r>
      <w:r>
        <w:rPr>
          <w:rFonts w:ascii="仿宋_GB2312" w:hAnsi="仿宋" w:cs="仿宋"/>
          <w:bCs/>
        </w:rPr>
        <w:t>+</w:t>
      </w:r>
      <w:r>
        <w:rPr>
          <w:rFonts w:hint="eastAsia" w:ascii="仿宋_GB2312" w:hAnsi="仿宋" w:cs="仿宋"/>
          <w:bCs/>
        </w:rPr>
        <w:t>布袋除尘器</w:t>
      </w:r>
      <w:r>
        <w:rPr>
          <w:rFonts w:ascii="仿宋_GB2312" w:hAnsi="仿宋" w:cs="仿宋"/>
          <w:bCs/>
        </w:rPr>
        <w:t>+15</w:t>
      </w:r>
      <w:r>
        <w:rPr>
          <w:rFonts w:hint="eastAsia" w:ascii="仿宋_GB2312" w:hAnsi="仿宋" w:cs="仿宋"/>
          <w:bCs/>
        </w:rPr>
        <w:t>米高排气筒”处理及排放，废气中颗粒物排放满足</w:t>
      </w:r>
      <w:r>
        <w:rPr>
          <w:rFonts w:hint="eastAsia" w:ascii="仿宋_GB2312" w:hAnsi="仿宋"/>
          <w:bCs/>
          <w:color w:val="000000"/>
        </w:rPr>
        <w:t>《大气污染物综合排放标准》（</w:t>
      </w:r>
      <w:r>
        <w:rPr>
          <w:rFonts w:ascii="仿宋_GB2312" w:hAnsi="仿宋"/>
          <w:bCs/>
          <w:color w:val="000000"/>
        </w:rPr>
        <w:t>GB16297-1996</w:t>
      </w:r>
      <w:r>
        <w:rPr>
          <w:rFonts w:hint="eastAsia" w:ascii="仿宋_GB2312" w:hAnsi="仿宋"/>
          <w:bCs/>
          <w:color w:val="000000"/>
        </w:rPr>
        <w:t>）表</w:t>
      </w:r>
      <w:r>
        <w:rPr>
          <w:rFonts w:ascii="仿宋_GB2312" w:hAnsi="仿宋"/>
          <w:bCs/>
          <w:color w:val="000000"/>
        </w:rPr>
        <w:t>2</w:t>
      </w:r>
      <w:r>
        <w:rPr>
          <w:rFonts w:hint="eastAsia" w:ascii="仿宋_GB2312" w:hAnsi="仿宋"/>
          <w:bCs/>
          <w:color w:val="000000"/>
        </w:rPr>
        <w:t>新污染源大气污染物排放限值要求</w:t>
      </w:r>
      <w:r>
        <w:rPr>
          <w:rFonts w:hint="eastAsia" w:ascii="仿宋_GB2312" w:hAnsi="仿宋" w:cs="仿宋"/>
          <w:bCs/>
        </w:rPr>
        <w:t>；</w:t>
      </w:r>
      <w:r>
        <w:rPr>
          <w:rFonts w:hint="eastAsia" w:ascii="仿宋_GB2312" w:hAnsi="仿宋"/>
          <w:bCs/>
        </w:rPr>
        <w:t>项目采取选用低</w:t>
      </w:r>
      <w:r>
        <w:rPr>
          <w:rFonts w:ascii="仿宋_GB2312" w:hAnsi="仿宋"/>
          <w:bCs/>
        </w:rPr>
        <w:t>VOCs</w:t>
      </w:r>
      <w:r>
        <w:rPr>
          <w:rFonts w:hint="eastAsia" w:ascii="仿宋_GB2312" w:hAnsi="仿宋"/>
          <w:bCs/>
        </w:rPr>
        <w:t>含量的水性油墨为原料，</w:t>
      </w:r>
      <w:r>
        <w:rPr>
          <w:rFonts w:hint="eastAsia" w:ascii="仿宋_GB2312" w:hAnsi="仿宋" w:cs="仿宋"/>
        </w:rPr>
        <w:t>印刷、粘胶过程位于封闭式生产车间内等措施</w:t>
      </w:r>
      <w:r>
        <w:rPr>
          <w:rFonts w:hint="eastAsia" w:ascii="仿宋_GB2312" w:hAnsi="仿宋" w:cs="仿宋"/>
          <w:bCs/>
        </w:rPr>
        <w:t>防治无组织非甲烷总烃的溢散，厂界无组织非甲烷总烃、颗粒物排放浓度满足《大气污染物综合排放标准》（</w:t>
      </w:r>
      <w:r>
        <w:rPr>
          <w:rFonts w:ascii="仿宋_GB2312" w:hAnsi="仿宋" w:cs="仿宋"/>
          <w:bCs/>
        </w:rPr>
        <w:t>GB16297-1996</w:t>
      </w:r>
      <w:r>
        <w:rPr>
          <w:rFonts w:hint="eastAsia" w:ascii="仿宋_GB2312" w:hAnsi="仿宋" w:cs="仿宋"/>
          <w:bCs/>
        </w:rPr>
        <w:t>）表</w:t>
      </w:r>
      <w:r>
        <w:rPr>
          <w:rFonts w:ascii="仿宋_GB2312" w:hAnsi="仿宋" w:cs="仿宋"/>
          <w:bCs/>
        </w:rPr>
        <w:t>2</w:t>
      </w:r>
      <w:r>
        <w:rPr>
          <w:rFonts w:hint="eastAsia" w:ascii="仿宋_GB2312" w:hAnsi="仿宋" w:cs="仿宋"/>
          <w:bCs/>
        </w:rPr>
        <w:t>无组织排放监控浓度限值要求，厂内无组织非甲烷总烃排放满足《挥发性有机物无组织排放控制标准》（</w:t>
      </w:r>
      <w:r>
        <w:rPr>
          <w:rFonts w:ascii="仿宋_GB2312" w:hAnsi="仿宋" w:cs="仿宋"/>
          <w:bCs/>
        </w:rPr>
        <w:t>GB37822-2019</w:t>
      </w:r>
      <w:r>
        <w:rPr>
          <w:rFonts w:hint="eastAsia" w:ascii="仿宋_GB2312" w:hAnsi="仿宋" w:cs="仿宋"/>
          <w:bCs/>
        </w:rPr>
        <w:t>）表</w:t>
      </w:r>
      <w:r>
        <w:rPr>
          <w:rFonts w:ascii="仿宋_GB2312" w:hAnsi="仿宋" w:cs="仿宋"/>
          <w:bCs/>
        </w:rPr>
        <w:t>A.1</w:t>
      </w:r>
      <w:r>
        <w:rPr>
          <w:rFonts w:hint="eastAsia" w:ascii="仿宋_GB2312" w:hAnsi="仿宋" w:cs="仿宋"/>
          <w:bCs/>
        </w:rPr>
        <w:t>厂区内</w:t>
      </w:r>
      <w:r>
        <w:rPr>
          <w:rFonts w:ascii="仿宋_GB2312" w:hAnsi="仿宋" w:cs="仿宋"/>
          <w:bCs/>
        </w:rPr>
        <w:t>VOCs</w:t>
      </w:r>
      <w:r>
        <w:rPr>
          <w:rFonts w:hint="eastAsia" w:ascii="仿宋_GB2312" w:hAnsi="仿宋" w:cs="仿宋"/>
          <w:bCs/>
        </w:rPr>
        <w:t>无组织排放限制要求。</w:t>
      </w:r>
    </w:p>
    <w:p>
      <w:pPr>
        <w:adjustRightInd w:val="0"/>
        <w:snapToGrid w:val="0"/>
        <w:spacing w:line="560" w:lineRule="exact"/>
        <w:ind w:firstLine="610" w:firstLineChars="200"/>
        <w:rPr>
          <w:rFonts w:ascii="仿宋_GB2312" w:hAnsi="宋体"/>
          <w:color w:val="000000"/>
        </w:rPr>
      </w:pPr>
      <w:r>
        <w:rPr>
          <w:rFonts w:hint="eastAsia" w:ascii="仿宋_GB2312" w:hAnsi="宋体"/>
          <w:color w:val="000000"/>
        </w:rPr>
        <w:t>（三）严格落实水污染防治措施。项目</w:t>
      </w:r>
      <w:r>
        <w:rPr>
          <w:rFonts w:hint="eastAsia" w:ascii="仿宋_GB2312" w:hAnsi="仿宋"/>
          <w:color w:val="000000"/>
        </w:rPr>
        <w:t>设备冲洗废水经“调节</w:t>
      </w:r>
      <w:r>
        <w:rPr>
          <w:rFonts w:ascii="仿宋_GB2312" w:hAnsi="仿宋"/>
          <w:color w:val="000000"/>
        </w:rPr>
        <w:t>+</w:t>
      </w:r>
      <w:r>
        <w:rPr>
          <w:rFonts w:hint="eastAsia" w:ascii="仿宋_GB2312" w:hAnsi="仿宋"/>
          <w:color w:val="000000"/>
        </w:rPr>
        <w:t>絮凝沉淀</w:t>
      </w:r>
      <w:r>
        <w:rPr>
          <w:rFonts w:ascii="仿宋_GB2312" w:hAnsi="仿宋"/>
          <w:color w:val="000000"/>
        </w:rPr>
        <w:t>+</w:t>
      </w:r>
      <w:r>
        <w:rPr>
          <w:rFonts w:hint="eastAsia" w:ascii="仿宋_GB2312" w:hAnsi="仿宋"/>
          <w:color w:val="000000"/>
        </w:rPr>
        <w:t>石英砂过滤</w:t>
      </w:r>
      <w:r>
        <w:rPr>
          <w:rFonts w:ascii="仿宋_GB2312" w:hAnsi="仿宋"/>
          <w:color w:val="000000"/>
        </w:rPr>
        <w:t>+</w:t>
      </w:r>
      <w:r>
        <w:rPr>
          <w:rFonts w:hint="eastAsia" w:ascii="仿宋_GB2312" w:hAnsi="仿宋"/>
          <w:color w:val="000000"/>
        </w:rPr>
        <w:t>超滤”处理后继续回用于冲洗环节，不外排；食堂废水采取隔油处理后，同生活污水一同进入化粪池处理，出水达到《污水综合排放标准》（</w:t>
      </w:r>
      <w:r>
        <w:rPr>
          <w:rFonts w:ascii="仿宋_GB2312" w:hAnsi="仿宋"/>
          <w:color w:val="000000"/>
        </w:rPr>
        <w:t>GB8979-1996</w:t>
      </w:r>
      <w:r>
        <w:rPr>
          <w:rFonts w:hint="eastAsia" w:ascii="仿宋_GB2312" w:hAnsi="仿宋"/>
          <w:color w:val="000000"/>
        </w:rPr>
        <w:t>）表</w:t>
      </w:r>
      <w:r>
        <w:rPr>
          <w:rFonts w:ascii="仿宋_GB2312" w:hAnsi="仿宋"/>
          <w:color w:val="000000"/>
        </w:rPr>
        <w:t>4</w:t>
      </w:r>
      <w:r>
        <w:rPr>
          <w:rFonts w:hint="eastAsia" w:ascii="仿宋_GB2312" w:hAnsi="仿宋"/>
          <w:color w:val="000000"/>
        </w:rPr>
        <w:t>三级排放标准后，经园区下水管网排入阿拉尔经济技术开发区污水处理厂</w:t>
      </w:r>
      <w:r>
        <w:rPr>
          <w:rFonts w:hint="eastAsia" w:ascii="仿宋_GB2312"/>
        </w:rPr>
        <w:t>。</w:t>
      </w:r>
    </w:p>
    <w:p>
      <w:pPr>
        <w:pStyle w:val="7"/>
        <w:adjustRightInd w:val="0"/>
        <w:snapToGrid w:val="0"/>
        <w:spacing w:line="560" w:lineRule="exact"/>
        <w:ind w:firstLine="610" w:firstLineChars="200"/>
        <w:rPr>
          <w:rFonts w:ascii="仿宋_GB2312" w:hAnsi="Times New Roman"/>
          <w:sz w:val="32"/>
          <w:szCs w:val="32"/>
        </w:rPr>
      </w:pPr>
      <w:r>
        <w:rPr>
          <w:rFonts w:hint="eastAsia" w:ascii="仿宋_GB2312" w:hAnsi="Times New Roman"/>
          <w:sz w:val="32"/>
          <w:szCs w:val="32"/>
        </w:rPr>
        <w:t>（四）严格落实噪音污染防治措施。该项目噪声主要为分纸机、印刷机、开槽机等设备运行噪声。通过对设备采取消声减振处理、加强设备定期维护保养、厂区合理布置等措施，确保厂界噪声满足《工业企业厂界环境噪声排放标准》（</w:t>
      </w:r>
      <w:r>
        <w:rPr>
          <w:rFonts w:ascii="仿宋_GB2312" w:hAnsi="Times New Roman"/>
          <w:sz w:val="32"/>
          <w:szCs w:val="32"/>
        </w:rPr>
        <w:t>GB12348-2008</w:t>
      </w:r>
      <w:r>
        <w:rPr>
          <w:rFonts w:hint="eastAsia" w:ascii="仿宋_GB2312" w:hAnsi="Times New Roman"/>
          <w:sz w:val="32"/>
          <w:szCs w:val="32"/>
        </w:rPr>
        <w:t>）</w:t>
      </w:r>
      <w:r>
        <w:rPr>
          <w:rFonts w:ascii="仿宋_GB2312" w:hAnsi="Times New Roman"/>
          <w:sz w:val="32"/>
          <w:szCs w:val="32"/>
        </w:rPr>
        <w:t>3</w:t>
      </w:r>
      <w:r>
        <w:rPr>
          <w:rFonts w:hint="eastAsia" w:ascii="仿宋_GB2312" w:hAnsi="Times New Roman"/>
          <w:sz w:val="32"/>
          <w:szCs w:val="32"/>
        </w:rPr>
        <w:t>类标准要求。</w:t>
      </w:r>
    </w:p>
    <w:p>
      <w:pPr>
        <w:spacing w:line="560" w:lineRule="exact"/>
        <w:ind w:firstLine="610" w:firstLineChars="200"/>
        <w:rPr>
          <w:rFonts w:ascii="仿宋_GB2312"/>
        </w:rPr>
      </w:pPr>
      <w:r>
        <w:rPr>
          <w:rFonts w:hint="eastAsia" w:ascii="仿宋_GB2312"/>
        </w:rPr>
        <w:t>（五）严格落实固体废物污染防治措施。废边角料经收集后外售给废品回收厂家；废胶桶和废油墨桶分类收集后暂存于原料库中，之后由厂家回收利用。废机油、废抹布、废活性炭、污泥等危险废物分类分区暂存于厂内的危险废物暂存库，定期委托具有资质的单位安全处置。</w:t>
      </w:r>
      <w:r>
        <w:rPr>
          <w:rFonts w:hint="eastAsia" w:ascii="仿宋_GB2312" w:hAnsi="仿宋_GB2312" w:eastAsia="仿宋_GB2312" w:cs="仿宋_GB2312"/>
          <w:sz w:val="32"/>
          <w:szCs w:val="32"/>
        </w:rPr>
        <w:t>危险废物暂存间的设置及设计必须符合《危险废物贮存污染控制标准》（GB18597-2001）及2013年修改单中的相关标准要求</w:t>
      </w:r>
      <w:r>
        <w:rPr>
          <w:rFonts w:hint="eastAsia" w:ascii="仿宋_GB2312" w:hAnsi="仿宋_GB2312" w:eastAsia="仿宋_GB2312" w:cs="仿宋_GB2312"/>
          <w:sz w:val="32"/>
          <w:szCs w:val="32"/>
          <w:lang w:eastAsia="zh-CN"/>
        </w:rPr>
        <w:t>。</w:t>
      </w:r>
      <w:r>
        <w:rPr>
          <w:rFonts w:hint="eastAsia" w:ascii="仿宋_GB2312"/>
        </w:rPr>
        <w:t>生活垃圾集中收集后，由园区环卫部门定期清运。</w:t>
      </w:r>
    </w:p>
    <w:p>
      <w:pPr>
        <w:adjustRightInd w:val="0"/>
        <w:snapToGrid w:val="0"/>
        <w:spacing w:line="560" w:lineRule="exact"/>
        <w:ind w:firstLine="610" w:firstLineChars="200"/>
        <w:textAlignment w:val="baseline"/>
        <w:rPr>
          <w:rFonts w:ascii="仿宋_GB2312"/>
        </w:rPr>
      </w:pPr>
      <w:r>
        <w:rPr>
          <w:rFonts w:hint="eastAsia" w:ascii="仿宋_GB2312"/>
        </w:rPr>
        <w:t>（六）该项目运营期应加强管理，加强设备运行维护。</w:t>
      </w:r>
      <w:r>
        <w:rPr>
          <w:rFonts w:hint="eastAsia" w:ascii="仿宋_GB2312" w:hAnsi="仿宋" w:cs="仿宋"/>
        </w:rPr>
        <w:t>加强工程环境风险防范工作，建立严格的环境风险管理制度，认真落实报告表提出的各项风险防范措施；做好单位应急预案和地方环境应急预案的衔接，防止污染事故发生后对周围环境质量和人群健康产生不良影响；并定期进行风险事故应急演练，及时对应急预案进行完善。</w:t>
      </w:r>
    </w:p>
    <w:p>
      <w:pPr>
        <w:adjustRightInd w:val="0"/>
        <w:snapToGrid w:val="0"/>
        <w:spacing w:line="560" w:lineRule="exact"/>
        <w:ind w:firstLine="610" w:firstLineChars="200"/>
        <w:rPr>
          <w:rFonts w:ascii="仿宋_GB2312"/>
        </w:rPr>
      </w:pPr>
      <w:r>
        <w:rPr>
          <w:rFonts w:hint="eastAsia" w:ascii="仿宋_GB2312"/>
        </w:rPr>
        <w:t>四、你单位须严格执行环保“三同时”制度，建设项目竣工后，建设单位应当按照国务院环境保护行政主管部门规定的标准和程序，对配套建设的环境保护设施进行验收，编制验收报告，验收报告编制完成后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rPr>
        <w:t>5</w:t>
      </w:r>
      <w:r>
        <w:rPr>
          <w:rFonts w:hint="eastAsia" w:ascii="仿宋_GB2312"/>
        </w:rPr>
        <w:t>个工作日内在相关网站进行公开，公示期限不得少于</w:t>
      </w:r>
      <w:r>
        <w:rPr>
          <w:rFonts w:ascii="仿宋_GB2312"/>
        </w:rPr>
        <w:t>20</w:t>
      </w:r>
      <w:r>
        <w:rPr>
          <w:rFonts w:hint="eastAsia" w:ascii="仿宋_GB2312"/>
        </w:rPr>
        <w:t>个工作日，并向我局报送相关信息；验收报告公示期满后</w:t>
      </w:r>
      <w:r>
        <w:rPr>
          <w:rFonts w:ascii="仿宋_GB2312"/>
        </w:rPr>
        <w:t>5</w:t>
      </w:r>
      <w:r>
        <w:rPr>
          <w:rFonts w:hint="eastAsia" w:ascii="仿宋_GB2312"/>
        </w:rPr>
        <w:t>个工作日内，建设单位应当登录“全国建设项目竣工环境保护验收信息平台”（网址为</w:t>
      </w:r>
      <w:r>
        <w:rPr>
          <w:rFonts w:ascii="仿宋_GB2312"/>
        </w:rPr>
        <w:t>http://114.251.10.205</w:t>
      </w:r>
      <w:r>
        <w:rPr>
          <w:rFonts w:hint="eastAsia" w:ascii="仿宋_GB2312"/>
        </w:rPr>
        <w:t>），填报建设项目基本信息、环境保护设施验收情况等相关信息。</w:t>
      </w:r>
    </w:p>
    <w:p>
      <w:pPr>
        <w:adjustRightInd w:val="0"/>
        <w:snapToGrid w:val="0"/>
        <w:spacing w:line="560" w:lineRule="exact"/>
        <w:ind w:firstLine="630"/>
        <w:rPr>
          <w:rFonts w:ascii="仿宋_GB2312"/>
        </w:rPr>
      </w:pPr>
      <w:r>
        <w:rPr>
          <w:rFonts w:hint="eastAsia" w:ascii="仿宋_GB2312"/>
        </w:rPr>
        <w:t>五、你单位须严格按照《排污许可证管理暂行规定》要求，在投入生产或使用并产生实际排污行为之前申请领取排污许可证或进行排污登记。</w:t>
      </w:r>
    </w:p>
    <w:p>
      <w:pPr>
        <w:adjustRightInd w:val="0"/>
        <w:snapToGrid w:val="0"/>
        <w:spacing w:line="560" w:lineRule="exact"/>
        <w:ind w:firstLine="610" w:firstLineChars="200"/>
        <w:rPr>
          <w:rFonts w:ascii="仿宋_GB2312"/>
        </w:rPr>
      </w:pPr>
      <w:r>
        <w:rPr>
          <w:rFonts w:hint="eastAsia" w:ascii="仿宋_GB2312"/>
        </w:rPr>
        <w:t>六、根据《中华人民共和国环境影响评价法》等相关环保法律法规的规定，若项目性质、规模、地点、采用的防治污染、防止生态破坏的措施等发生重大变化的，应依法重新报批环评文件。自批准之日起</w:t>
      </w:r>
      <w:r>
        <w:rPr>
          <w:rFonts w:ascii="仿宋_GB2312"/>
        </w:rPr>
        <w:t>5</w:t>
      </w:r>
      <w:r>
        <w:rPr>
          <w:rFonts w:hint="eastAsia" w:ascii="仿宋_GB2312"/>
        </w:rPr>
        <w:t>年内未开工建设的，其环评文件应当报我局重新审核。在项目建设、运行过程中产生不符合经审批的环评文件情形的，应依法重新办理相关环保手续。</w:t>
      </w:r>
    </w:p>
    <w:p>
      <w:pPr>
        <w:adjustRightInd w:val="0"/>
        <w:snapToGrid w:val="0"/>
        <w:spacing w:line="560" w:lineRule="exact"/>
        <w:ind w:firstLine="610" w:firstLineChars="200"/>
        <w:rPr>
          <w:rFonts w:ascii="仿宋_GB2312"/>
          <w:kern w:val="0"/>
        </w:rPr>
      </w:pPr>
      <w:r>
        <w:rPr>
          <w:rFonts w:hint="eastAsia" w:ascii="仿宋_GB2312"/>
        </w:rPr>
        <w:t>七、</w:t>
      </w:r>
      <w:r>
        <w:rPr>
          <w:rFonts w:hint="eastAsia" w:ascii="仿宋_GB2312" w:hAnsi="Helvetica" w:cs="Helvetica"/>
        </w:rPr>
        <w:t>阿拉尔经济技术开发区</w:t>
      </w:r>
      <w:r>
        <w:rPr>
          <w:rFonts w:hint="eastAsia" w:ascii="仿宋_GB2312" w:hAnsi="仿宋_GB2312" w:cs="仿宋_GB2312"/>
        </w:rPr>
        <w:t>按照《关于印发</w:t>
      </w:r>
      <w:r>
        <w:rPr>
          <w:rFonts w:ascii="仿宋_GB2312" w:hAnsi="仿宋_GB2312" w:cs="仿宋_GB2312"/>
        </w:rPr>
        <w:t>&lt;</w:t>
      </w:r>
      <w:r>
        <w:rPr>
          <w:rFonts w:hint="eastAsia" w:ascii="仿宋_GB2312" w:hAnsi="仿宋_GB2312" w:cs="仿宋_GB2312"/>
        </w:rPr>
        <w:t>第一师阿拉尔市生态环境保护工作职责暂行规定（试行）</w:t>
      </w:r>
      <w:r>
        <w:rPr>
          <w:rFonts w:ascii="仿宋_GB2312" w:hAnsi="仿宋_GB2312" w:cs="仿宋_GB2312"/>
        </w:rPr>
        <w:t>&gt;</w:t>
      </w:r>
      <w:r>
        <w:rPr>
          <w:rFonts w:hint="eastAsia" w:ascii="仿宋_GB2312" w:hAnsi="仿宋_GB2312" w:cs="仿宋_GB2312"/>
        </w:rPr>
        <w:t>的通知》（师市环委办发〔</w:t>
      </w:r>
      <w:r>
        <w:rPr>
          <w:rFonts w:ascii="仿宋_GB2312" w:hAnsi="仿宋_GB2312" w:cs="仿宋_GB2312"/>
        </w:rPr>
        <w:t>2020</w:t>
      </w:r>
      <w:r>
        <w:rPr>
          <w:rFonts w:hint="eastAsia" w:ascii="仿宋_GB2312" w:hAnsi="仿宋_GB2312" w:cs="仿宋_GB2312"/>
        </w:rPr>
        <w:t>〕</w:t>
      </w:r>
      <w:r>
        <w:rPr>
          <w:rFonts w:ascii="仿宋_GB2312" w:hAnsi="仿宋_GB2312" w:cs="仿宋_GB2312"/>
        </w:rPr>
        <w:t>1</w:t>
      </w:r>
      <w:r>
        <w:rPr>
          <w:rFonts w:hint="eastAsia" w:ascii="仿宋_GB2312" w:hAnsi="仿宋_GB2312" w:cs="仿宋_GB2312"/>
        </w:rPr>
        <w:t>号）要求</w:t>
      </w:r>
      <w:r>
        <w:rPr>
          <w:rFonts w:hint="eastAsia" w:ascii="仿宋_GB2312" w:hAnsi="仿宋_GB2312"/>
        </w:rPr>
        <w:t>，做好该项目环境监管</w:t>
      </w:r>
      <w:r>
        <w:rPr>
          <w:rFonts w:hint="eastAsia" w:ascii="仿宋_GB2312"/>
        </w:rPr>
        <w:t>工作，师市生态环境综合行政执法支队做好该项目的抽查日常监督管理工作。</w:t>
      </w:r>
    </w:p>
    <w:p>
      <w:pPr>
        <w:pStyle w:val="5"/>
        <w:spacing w:after="0" w:line="560" w:lineRule="exact"/>
        <w:rPr>
          <w:rFonts w:ascii="仿宋_GB2312"/>
        </w:rPr>
      </w:pPr>
    </w:p>
    <w:p>
      <w:pPr>
        <w:pStyle w:val="5"/>
        <w:spacing w:after="0" w:line="560" w:lineRule="exact"/>
        <w:rPr>
          <w:rFonts w:ascii="仿宋_GB2312"/>
        </w:rPr>
      </w:pPr>
    </w:p>
    <w:p>
      <w:pPr>
        <w:adjustRightInd w:val="0"/>
        <w:snapToGrid w:val="0"/>
        <w:spacing w:line="560" w:lineRule="exact"/>
        <w:ind w:firstLine="5054" w:firstLineChars="1657"/>
        <w:rPr>
          <w:rFonts w:ascii="仿宋_GB2312"/>
          <w:kern w:val="0"/>
        </w:rPr>
      </w:pPr>
      <w:r>
        <w:rPr>
          <w:rFonts w:hint="eastAsia" w:ascii="仿宋_GB2312"/>
          <w:kern w:val="0"/>
        </w:rPr>
        <w:t>第一师阿拉尔市生态环境局</w:t>
      </w:r>
    </w:p>
    <w:p>
      <w:pPr>
        <w:adjustRightInd w:val="0"/>
        <w:snapToGrid w:val="0"/>
        <w:spacing w:line="560" w:lineRule="exact"/>
        <w:ind w:right="608"/>
        <w:rPr>
          <w:rFonts w:ascii="仿宋_GB2312"/>
          <w:kern w:val="0"/>
        </w:rPr>
      </w:pPr>
      <w:r>
        <w:rPr>
          <w:rFonts w:ascii="仿宋_GB2312"/>
          <w:kern w:val="0"/>
        </w:rPr>
        <w:t xml:space="preserve">                                      2021</w:t>
      </w:r>
      <w:r>
        <w:rPr>
          <w:rFonts w:hint="eastAsia" w:ascii="仿宋_GB2312"/>
          <w:kern w:val="0"/>
        </w:rPr>
        <w:t>年</w:t>
      </w:r>
      <w:r>
        <w:rPr>
          <w:rFonts w:hint="eastAsia" w:ascii="仿宋_GB2312"/>
          <w:kern w:val="0"/>
          <w:lang w:val="en-US" w:eastAsia="zh-CN"/>
        </w:rPr>
        <w:t>8</w:t>
      </w:r>
      <w:r>
        <w:rPr>
          <w:rFonts w:hint="eastAsia" w:ascii="仿宋_GB2312"/>
          <w:kern w:val="0"/>
        </w:rPr>
        <w:t>月</w:t>
      </w:r>
      <w:r>
        <w:rPr>
          <w:rFonts w:hint="eastAsia" w:ascii="仿宋_GB2312"/>
          <w:kern w:val="0"/>
          <w:lang w:val="en-US" w:eastAsia="zh-CN"/>
        </w:rPr>
        <w:t>9</w:t>
      </w:r>
      <w:r>
        <w:rPr>
          <w:rFonts w:hint="eastAsia" w:ascii="仿宋_GB2312"/>
          <w:kern w:val="0"/>
        </w:rPr>
        <w:t>日</w:t>
      </w:r>
    </w:p>
    <w:p>
      <w:pPr>
        <w:adjustRightInd w:val="0"/>
        <w:snapToGrid w:val="0"/>
        <w:spacing w:line="560" w:lineRule="exact"/>
        <w:ind w:right="608"/>
        <w:rPr>
          <w:rFonts w:ascii="仿宋_GB2312"/>
          <w:kern w:val="0"/>
        </w:rPr>
      </w:pPr>
    </w:p>
    <w:p>
      <w:pPr>
        <w:pStyle w:val="23"/>
        <w:rPr>
          <w:rFonts w:ascii="仿宋_GB2312"/>
        </w:rPr>
      </w:pPr>
    </w:p>
    <w:p>
      <w:pPr>
        <w:pStyle w:val="23"/>
        <w:rPr>
          <w:rFonts w:ascii="仿宋_GB2312"/>
        </w:rPr>
      </w:pPr>
    </w:p>
    <w:p>
      <w:pPr>
        <w:pStyle w:val="23"/>
        <w:rPr>
          <w:rFonts w:ascii="仿宋_GB2312"/>
        </w:rPr>
      </w:pPr>
    </w:p>
    <w:p>
      <w:pPr>
        <w:pStyle w:val="23"/>
        <w:rPr>
          <w:rFonts w:ascii="仿宋_GB2312"/>
        </w:rPr>
      </w:pPr>
    </w:p>
    <w:p/>
    <w:p>
      <w:pPr>
        <w:pStyle w:val="2"/>
      </w:pPr>
    </w:p>
    <w:p>
      <w:pPr>
        <w:pStyle w:val="2"/>
      </w:pPr>
    </w:p>
    <w:p>
      <w:pPr>
        <w:pStyle w:val="2"/>
      </w:pPr>
    </w:p>
    <w:p>
      <w:pPr>
        <w:pStyle w:val="12"/>
        <w:ind w:left="609" w:firstLine="0" w:firstLineChars="0"/>
      </w:pPr>
    </w:p>
    <w:p>
      <w:pPr>
        <w:pStyle w:val="12"/>
        <w:ind w:left="609" w:firstLine="0" w:firstLineChars="0"/>
      </w:pPr>
    </w:p>
    <w:p>
      <w:pPr>
        <w:pStyle w:val="12"/>
        <w:ind w:left="609" w:firstLine="0" w:firstLineChars="0"/>
      </w:pPr>
    </w:p>
    <w:p>
      <w:pPr>
        <w:pStyle w:val="12"/>
        <w:ind w:left="609" w:firstLine="0" w:firstLineChars="0"/>
      </w:pPr>
    </w:p>
    <w:p>
      <w:pPr>
        <w:pStyle w:val="12"/>
        <w:ind w:left="609" w:firstLine="0" w:firstLineChars="0"/>
      </w:pPr>
    </w:p>
    <w:p>
      <w:pPr>
        <w:pStyle w:val="12"/>
        <w:ind w:left="609" w:firstLine="0" w:firstLineChars="0"/>
      </w:pPr>
    </w:p>
    <w:p>
      <w:pPr>
        <w:pStyle w:val="12"/>
        <w:ind w:left="609" w:firstLine="0" w:firstLineChars="0"/>
      </w:pPr>
    </w:p>
    <w:p>
      <w:pPr>
        <w:pStyle w:val="12"/>
        <w:ind w:left="609" w:firstLine="0" w:firstLineChars="0"/>
      </w:pPr>
    </w:p>
    <w:p>
      <w:pPr>
        <w:pStyle w:val="12"/>
        <w:ind w:left="609" w:firstLine="0" w:firstLineChars="0"/>
      </w:pPr>
    </w:p>
    <w:p>
      <w:pPr>
        <w:pStyle w:val="12"/>
        <w:ind w:left="609" w:firstLine="0" w:firstLineChars="0"/>
      </w:pPr>
    </w:p>
    <w:p>
      <w:pPr>
        <w:pStyle w:val="12"/>
        <w:ind w:left="0" w:leftChars="0" w:firstLine="0" w:firstLineChars="0"/>
      </w:pPr>
    </w:p>
    <w:p>
      <w:pPr>
        <w:pStyle w:val="12"/>
        <w:ind w:left="0" w:leftChars="0" w:firstLine="0" w:firstLineChars="0"/>
      </w:pPr>
    </w:p>
    <w:p>
      <w:pPr>
        <w:topLinePunct/>
        <w:adjustRightInd w:val="0"/>
        <w:snapToGrid w:val="0"/>
        <w:spacing w:line="520" w:lineRule="exact"/>
        <w:rPr>
          <w:rFonts w:ascii="仿宋_GB2312" w:cs="仿宋_GB2312"/>
          <w:spacing w:val="-3"/>
          <w:sz w:val="28"/>
          <w:szCs w:val="28"/>
        </w:rPr>
      </w:pPr>
      <w:r>
        <w:pict>
          <v:line id="_x0000_s1028" o:spid="_x0000_s1028" o:spt="20" style="position:absolute;left:0pt;margin-left:-2.3pt;margin-top:0.3pt;height:0pt;width:456.9pt;z-index:251660288;mso-width-relative:page;mso-height-relative:page;" coordsize="21600,21600">
            <v:path arrowok="t"/>
            <v:fill focussize="0,0"/>
            <v:stroke weight="1.5pt"/>
            <v:imagedata o:title=""/>
            <o:lock v:ext="edit"/>
          </v:line>
        </w:pict>
      </w:r>
      <w:r>
        <w:rPr>
          <w:rFonts w:hint="eastAsia" w:ascii="仿宋_GB2312" w:hAnsi="仿宋_GB2312" w:cs="仿宋_GB2312"/>
          <w:spacing w:val="-3"/>
          <w:sz w:val="28"/>
          <w:szCs w:val="28"/>
        </w:rPr>
        <w:t>抄送：师市相关领导，发改委、自然资源和规划局、阿拉尔经济技术开发区、生态环境保护综合行政执法支队、</w:t>
      </w:r>
      <w:r>
        <w:rPr>
          <w:rFonts w:hint="eastAsia"/>
          <w:spacing w:val="-3"/>
          <w:sz w:val="28"/>
          <w:szCs w:val="28"/>
        </w:rPr>
        <w:t>阿克苏地区新地矿产资源开发有限责任公司</w:t>
      </w:r>
      <w:r>
        <w:rPr>
          <w:rFonts w:hint="eastAsia" w:ascii="仿宋_GB2312" w:hAnsi="仿宋_GB2312" w:cs="仿宋_GB2312"/>
          <w:spacing w:val="-3"/>
          <w:sz w:val="28"/>
          <w:szCs w:val="28"/>
        </w:rPr>
        <w:t>。</w:t>
      </w:r>
    </w:p>
    <w:p>
      <w:pPr>
        <w:topLinePunct/>
        <w:adjustRightInd w:val="0"/>
        <w:snapToGrid w:val="0"/>
        <w:spacing w:line="520" w:lineRule="exact"/>
        <w:rPr>
          <w:sz w:val="28"/>
          <w:szCs w:val="28"/>
        </w:rPr>
      </w:pPr>
      <w:r>
        <w:pict>
          <v:line id="_x0000_s1029" o:spid="_x0000_s1029" o:spt="20" style="position:absolute;left:0pt;margin-left:-3.75pt;margin-top:29.55pt;height:0pt;width:456.9pt;z-index:251661312;mso-width-relative:page;mso-height-relative:page;" coordsize="21600,21600">
            <v:path arrowok="t"/>
            <v:fill focussize="0,0"/>
            <v:stroke weight="1.5pt"/>
            <v:imagedata o:title=""/>
            <o:lock v:ext="edit"/>
          </v:line>
        </w:pict>
      </w:r>
      <w:r>
        <w:pict>
          <v:line id="_x0000_s1030" o:spid="_x0000_s1030" o:spt="20" style="position:absolute;left:0pt;margin-left:-3.55pt;margin-top:2.05pt;height:0pt;width:456.9pt;z-index:251662336;mso-width-relative:page;mso-height-relative:page;" coordsize="21600,21600">
            <v:path arrowok="t"/>
            <v:fill focussize="0,0"/>
            <v:stroke/>
            <v:imagedata o:title=""/>
            <o:lock v:ext="edit"/>
          </v:line>
        </w:pict>
      </w:r>
      <w:r>
        <w:rPr>
          <w:rFonts w:hint="eastAsia"/>
          <w:sz w:val="28"/>
          <w:szCs w:val="28"/>
        </w:rPr>
        <w:t>第一师阿拉尔市生态环境局</w:t>
      </w:r>
      <w:r>
        <w:rPr>
          <w:sz w:val="28"/>
          <w:szCs w:val="28"/>
        </w:rPr>
        <w:t xml:space="preserve">                        2021</w:t>
      </w:r>
      <w:r>
        <w:rPr>
          <w:rFonts w:hint="eastAsia"/>
          <w:sz w:val="28"/>
          <w:szCs w:val="28"/>
        </w:rPr>
        <w:t>年</w:t>
      </w:r>
      <w:r>
        <w:rPr>
          <w:rFonts w:hint="eastAsia"/>
          <w:sz w:val="28"/>
          <w:szCs w:val="28"/>
          <w:lang w:val="en-US" w:eastAsia="zh-CN"/>
        </w:rPr>
        <w:t>8</w:t>
      </w:r>
      <w:r>
        <w:rPr>
          <w:rFonts w:hint="eastAsia"/>
          <w:sz w:val="28"/>
          <w:szCs w:val="28"/>
        </w:rPr>
        <w:t>月</w:t>
      </w:r>
      <w:r>
        <w:rPr>
          <w:rFonts w:hint="eastAsia"/>
          <w:sz w:val="28"/>
          <w:szCs w:val="28"/>
          <w:lang w:val="en-US" w:eastAsia="zh-CN"/>
        </w:rPr>
        <w:t>9</w:t>
      </w:r>
      <w:r>
        <w:rPr>
          <w:rFonts w:hint="eastAsia"/>
          <w:sz w:val="28"/>
          <w:szCs w:val="28"/>
        </w:rPr>
        <w:t>日印发</w:t>
      </w:r>
    </w:p>
    <w:sectPr>
      <w:headerReference r:id="rId3" w:type="default"/>
      <w:footerReference r:id="rId4" w:type="default"/>
      <w:footerReference r:id="rId5" w:type="even"/>
      <w:pgSz w:w="11906" w:h="16838"/>
      <w:pgMar w:top="2098" w:right="1474" w:bottom="1984" w:left="1587" w:header="2098" w:footer="1985" w:gutter="0"/>
      <w:cols w:space="720" w:num="1"/>
      <w:docGrid w:type="linesAndChars" w:linePitch="604" w:charSpace="-3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仿宋_GB2312"/>
        <w:sz w:val="28"/>
        <w:szCs w:val="28"/>
      </w:rPr>
    </w:pPr>
    <w:r>
      <w:pict>
        <v:shape id="_x0000_s2049" o:spid="_x0000_s2049"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path/>
          <v:fill on="f" focussize="0,0"/>
          <v:stroke on="f" joinstyle="miter"/>
          <v:imagedata o:title=""/>
          <o:lock v:ext="edit"/>
          <v:textbox inset="0mm,0mm,0mm,0mm" style="mso-fit-shape-to-text:t;">
            <w:txbxContent>
              <w:p>
                <w:pPr>
                  <w:pStyle w:val="9"/>
                  <w:wordWrap w:val="0"/>
                  <w:jc w:val="right"/>
                </w:pPr>
                <w:r>
                  <w:rPr>
                    <w:rFonts w:ascii="仿宋_GB2312"/>
                    <w:sz w:val="28"/>
                    <w:szCs w:val="28"/>
                  </w:rPr>
                  <w:t xml:space="preserve">                                                     — </w:t>
                </w:r>
                <w:r>
                  <w:rPr>
                    <w:rFonts w:ascii="仿宋_GB2312"/>
                    <w:sz w:val="28"/>
                    <w:szCs w:val="28"/>
                  </w:rPr>
                  <w:fldChar w:fldCharType="begin"/>
                </w:r>
                <w:r>
                  <w:rPr>
                    <w:rFonts w:ascii="仿宋_GB2312"/>
                    <w:sz w:val="28"/>
                    <w:szCs w:val="28"/>
                  </w:rPr>
                  <w:instrText xml:space="preserve"> PAGE </w:instrText>
                </w:r>
                <w:r>
                  <w:rPr>
                    <w:rFonts w:ascii="仿宋_GB2312"/>
                    <w:sz w:val="28"/>
                    <w:szCs w:val="28"/>
                  </w:rPr>
                  <w:fldChar w:fldCharType="separate"/>
                </w:r>
                <w:r>
                  <w:rPr>
                    <w:rFonts w:ascii="仿宋_GB2312"/>
                    <w:sz w:val="28"/>
                    <w:szCs w:val="28"/>
                  </w:rPr>
                  <w:t>2</w:t>
                </w:r>
                <w:r>
                  <w:rPr>
                    <w:rFonts w:ascii="仿宋_GB2312"/>
                    <w:sz w:val="28"/>
                    <w:szCs w:val="28"/>
                  </w:rPr>
                  <w:fldChar w:fldCharType="end"/>
                </w:r>
                <w:r>
                  <w:rPr>
                    <w:rFonts w:ascii="仿宋_GB2312"/>
                    <w:sz w:val="28"/>
                    <w:szCs w:val="28"/>
                  </w:rPr>
                  <w:t xml:space="preserve"> —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仿宋_GB2312"/>
        <w:sz w:val="28"/>
        <w:szCs w:val="28"/>
      </w:rPr>
    </w:pPr>
    <w:r>
      <w:rPr>
        <w:rFonts w:ascii="仿宋_GB2312"/>
        <w:sz w:val="28"/>
        <w:szCs w:val="28"/>
      </w:rPr>
      <w:t xml:space="preserve">— </w:t>
    </w:r>
    <w:r>
      <w:rPr>
        <w:rStyle w:val="15"/>
        <w:rFonts w:ascii="仿宋_GB2312"/>
        <w:sz w:val="28"/>
        <w:szCs w:val="28"/>
      </w:rPr>
      <w:fldChar w:fldCharType="begin"/>
    </w:r>
    <w:r>
      <w:rPr>
        <w:rStyle w:val="15"/>
        <w:rFonts w:ascii="仿宋_GB2312"/>
        <w:sz w:val="28"/>
        <w:szCs w:val="28"/>
      </w:rPr>
      <w:instrText xml:space="preserve"> PAGE </w:instrText>
    </w:r>
    <w:r>
      <w:rPr>
        <w:rStyle w:val="15"/>
        <w:rFonts w:ascii="仿宋_GB2312"/>
        <w:sz w:val="28"/>
        <w:szCs w:val="28"/>
      </w:rPr>
      <w:fldChar w:fldCharType="separate"/>
    </w:r>
    <w:r>
      <w:rPr>
        <w:rStyle w:val="15"/>
        <w:rFonts w:ascii="仿宋_GB2312"/>
        <w:sz w:val="28"/>
        <w:szCs w:val="28"/>
      </w:rPr>
      <w:t>4</w:t>
    </w:r>
    <w:r>
      <w:rPr>
        <w:rStyle w:val="15"/>
        <w:rFonts w:ascii="仿宋_GB2312"/>
        <w:sz w:val="28"/>
        <w:szCs w:val="28"/>
      </w:rPr>
      <w:fldChar w:fldCharType="end"/>
    </w:r>
    <w:r>
      <w:rPr>
        <w:rFonts w:ascii="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54CD"/>
    <w:rsid w:val="00025129"/>
    <w:rsid w:val="000E325E"/>
    <w:rsid w:val="000F6540"/>
    <w:rsid w:val="001431BE"/>
    <w:rsid w:val="00151BC5"/>
    <w:rsid w:val="001639FC"/>
    <w:rsid w:val="00171DAC"/>
    <w:rsid w:val="00172A27"/>
    <w:rsid w:val="00173C39"/>
    <w:rsid w:val="001A2A43"/>
    <w:rsid w:val="001C118C"/>
    <w:rsid w:val="001C7850"/>
    <w:rsid w:val="001F60BD"/>
    <w:rsid w:val="00227C51"/>
    <w:rsid w:val="00233562"/>
    <w:rsid w:val="00242BA0"/>
    <w:rsid w:val="00295BA8"/>
    <w:rsid w:val="002A21AE"/>
    <w:rsid w:val="002A3C15"/>
    <w:rsid w:val="002B19C8"/>
    <w:rsid w:val="002B6DD0"/>
    <w:rsid w:val="002F5F6B"/>
    <w:rsid w:val="003023C4"/>
    <w:rsid w:val="00304D0B"/>
    <w:rsid w:val="003111A9"/>
    <w:rsid w:val="00314846"/>
    <w:rsid w:val="00344500"/>
    <w:rsid w:val="00362623"/>
    <w:rsid w:val="003A3EB8"/>
    <w:rsid w:val="003A7228"/>
    <w:rsid w:val="003F3A9F"/>
    <w:rsid w:val="003F754F"/>
    <w:rsid w:val="003F7F32"/>
    <w:rsid w:val="00414269"/>
    <w:rsid w:val="00437564"/>
    <w:rsid w:val="00467A46"/>
    <w:rsid w:val="00482D16"/>
    <w:rsid w:val="004C21F7"/>
    <w:rsid w:val="004E3FCC"/>
    <w:rsid w:val="004E59A2"/>
    <w:rsid w:val="0050402B"/>
    <w:rsid w:val="005065C1"/>
    <w:rsid w:val="00521645"/>
    <w:rsid w:val="00552199"/>
    <w:rsid w:val="0056250B"/>
    <w:rsid w:val="0056471E"/>
    <w:rsid w:val="005658BF"/>
    <w:rsid w:val="00574966"/>
    <w:rsid w:val="005A0EF4"/>
    <w:rsid w:val="005B5904"/>
    <w:rsid w:val="005B7397"/>
    <w:rsid w:val="005C1023"/>
    <w:rsid w:val="005E495F"/>
    <w:rsid w:val="005E71F3"/>
    <w:rsid w:val="00616CC0"/>
    <w:rsid w:val="006303F2"/>
    <w:rsid w:val="00633A23"/>
    <w:rsid w:val="00635F1D"/>
    <w:rsid w:val="006403BB"/>
    <w:rsid w:val="00667317"/>
    <w:rsid w:val="006727ED"/>
    <w:rsid w:val="006C14B9"/>
    <w:rsid w:val="006D69B8"/>
    <w:rsid w:val="006D7837"/>
    <w:rsid w:val="00722814"/>
    <w:rsid w:val="00725EB1"/>
    <w:rsid w:val="0073685D"/>
    <w:rsid w:val="00754B36"/>
    <w:rsid w:val="007A0FF8"/>
    <w:rsid w:val="007A536E"/>
    <w:rsid w:val="007B75B9"/>
    <w:rsid w:val="007C1727"/>
    <w:rsid w:val="007C2643"/>
    <w:rsid w:val="007E7E36"/>
    <w:rsid w:val="007F26DF"/>
    <w:rsid w:val="00870BDC"/>
    <w:rsid w:val="008A3DE4"/>
    <w:rsid w:val="008B3ABC"/>
    <w:rsid w:val="008B4592"/>
    <w:rsid w:val="008B53D6"/>
    <w:rsid w:val="008D003C"/>
    <w:rsid w:val="008F49B9"/>
    <w:rsid w:val="009451BE"/>
    <w:rsid w:val="00967F11"/>
    <w:rsid w:val="009717AE"/>
    <w:rsid w:val="009A6ADB"/>
    <w:rsid w:val="009C4D01"/>
    <w:rsid w:val="009D32CE"/>
    <w:rsid w:val="009D3FB3"/>
    <w:rsid w:val="00A02796"/>
    <w:rsid w:val="00A10371"/>
    <w:rsid w:val="00A4697E"/>
    <w:rsid w:val="00A47725"/>
    <w:rsid w:val="00A77C79"/>
    <w:rsid w:val="00A805DA"/>
    <w:rsid w:val="00AA3603"/>
    <w:rsid w:val="00AB6EF5"/>
    <w:rsid w:val="00AC4A8C"/>
    <w:rsid w:val="00AE6472"/>
    <w:rsid w:val="00B016D8"/>
    <w:rsid w:val="00B124C4"/>
    <w:rsid w:val="00B62F40"/>
    <w:rsid w:val="00B8493D"/>
    <w:rsid w:val="00B932C8"/>
    <w:rsid w:val="00BA5CB4"/>
    <w:rsid w:val="00BB145C"/>
    <w:rsid w:val="00BC1FD2"/>
    <w:rsid w:val="00BD1D4D"/>
    <w:rsid w:val="00C21A9D"/>
    <w:rsid w:val="00C62C13"/>
    <w:rsid w:val="00C6330E"/>
    <w:rsid w:val="00C83EEA"/>
    <w:rsid w:val="00C965F6"/>
    <w:rsid w:val="00CA71CC"/>
    <w:rsid w:val="00CD5610"/>
    <w:rsid w:val="00D033F3"/>
    <w:rsid w:val="00D0599B"/>
    <w:rsid w:val="00D3088C"/>
    <w:rsid w:val="00D34FA7"/>
    <w:rsid w:val="00D45600"/>
    <w:rsid w:val="00D51444"/>
    <w:rsid w:val="00D62111"/>
    <w:rsid w:val="00D624A5"/>
    <w:rsid w:val="00D62772"/>
    <w:rsid w:val="00D75145"/>
    <w:rsid w:val="00D81A96"/>
    <w:rsid w:val="00DC2A23"/>
    <w:rsid w:val="00DF6F61"/>
    <w:rsid w:val="00E205D2"/>
    <w:rsid w:val="00E20F24"/>
    <w:rsid w:val="00E36172"/>
    <w:rsid w:val="00E8793B"/>
    <w:rsid w:val="00E90F01"/>
    <w:rsid w:val="00E9496E"/>
    <w:rsid w:val="00EC2B80"/>
    <w:rsid w:val="00EE1372"/>
    <w:rsid w:val="00F00027"/>
    <w:rsid w:val="00F17615"/>
    <w:rsid w:val="00F2189F"/>
    <w:rsid w:val="00F3491A"/>
    <w:rsid w:val="00F35718"/>
    <w:rsid w:val="00F47EFE"/>
    <w:rsid w:val="00F525F6"/>
    <w:rsid w:val="00F614A9"/>
    <w:rsid w:val="00F64F83"/>
    <w:rsid w:val="00FA634E"/>
    <w:rsid w:val="00FB12D5"/>
    <w:rsid w:val="00FB3D4F"/>
    <w:rsid w:val="00FF1A9F"/>
    <w:rsid w:val="00FF658E"/>
    <w:rsid w:val="034755F0"/>
    <w:rsid w:val="03A05783"/>
    <w:rsid w:val="03D12BCA"/>
    <w:rsid w:val="05266A20"/>
    <w:rsid w:val="05D43962"/>
    <w:rsid w:val="08811A5C"/>
    <w:rsid w:val="0AD425F9"/>
    <w:rsid w:val="106A30F3"/>
    <w:rsid w:val="14FD6733"/>
    <w:rsid w:val="173166B8"/>
    <w:rsid w:val="17D468F4"/>
    <w:rsid w:val="1AF44BD8"/>
    <w:rsid w:val="1DA90861"/>
    <w:rsid w:val="1DB85381"/>
    <w:rsid w:val="1E7476C9"/>
    <w:rsid w:val="200E15B3"/>
    <w:rsid w:val="211667CB"/>
    <w:rsid w:val="21530B74"/>
    <w:rsid w:val="239B50D7"/>
    <w:rsid w:val="2591376E"/>
    <w:rsid w:val="263C168D"/>
    <w:rsid w:val="269902DF"/>
    <w:rsid w:val="269E6716"/>
    <w:rsid w:val="275746DD"/>
    <w:rsid w:val="295B2467"/>
    <w:rsid w:val="30455855"/>
    <w:rsid w:val="31785F6E"/>
    <w:rsid w:val="31B5299E"/>
    <w:rsid w:val="32E10D6E"/>
    <w:rsid w:val="33E402A7"/>
    <w:rsid w:val="342C2E72"/>
    <w:rsid w:val="35621FD3"/>
    <w:rsid w:val="37621267"/>
    <w:rsid w:val="3BC43568"/>
    <w:rsid w:val="40ED03F5"/>
    <w:rsid w:val="44FC29CD"/>
    <w:rsid w:val="46022F6A"/>
    <w:rsid w:val="47784399"/>
    <w:rsid w:val="4C30095A"/>
    <w:rsid w:val="4C3345A7"/>
    <w:rsid w:val="4D683FE0"/>
    <w:rsid w:val="4E74734C"/>
    <w:rsid w:val="50361DE5"/>
    <w:rsid w:val="508D765E"/>
    <w:rsid w:val="51883219"/>
    <w:rsid w:val="52BB22E9"/>
    <w:rsid w:val="54502155"/>
    <w:rsid w:val="57F047FE"/>
    <w:rsid w:val="58747712"/>
    <w:rsid w:val="59A73473"/>
    <w:rsid w:val="5CD25C98"/>
    <w:rsid w:val="5F9266A4"/>
    <w:rsid w:val="60182BAD"/>
    <w:rsid w:val="6105263C"/>
    <w:rsid w:val="623E68BF"/>
    <w:rsid w:val="62833D3F"/>
    <w:rsid w:val="6378393C"/>
    <w:rsid w:val="63F123EB"/>
    <w:rsid w:val="643B27E7"/>
    <w:rsid w:val="64AC6C6D"/>
    <w:rsid w:val="65281682"/>
    <w:rsid w:val="690F337D"/>
    <w:rsid w:val="69A30570"/>
    <w:rsid w:val="6A5346D7"/>
    <w:rsid w:val="6D3E2631"/>
    <w:rsid w:val="704979B6"/>
    <w:rsid w:val="71313099"/>
    <w:rsid w:val="7215000D"/>
    <w:rsid w:val="727609EA"/>
    <w:rsid w:val="734B05C2"/>
    <w:rsid w:val="7414378F"/>
    <w:rsid w:val="74724D34"/>
    <w:rsid w:val="74C507FC"/>
    <w:rsid w:val="75421228"/>
    <w:rsid w:val="758676EB"/>
    <w:rsid w:val="75963FB7"/>
    <w:rsid w:val="78165F38"/>
    <w:rsid w:val="79890041"/>
    <w:rsid w:val="7DE1518D"/>
    <w:rsid w:val="7E24255E"/>
    <w:rsid w:val="7F1B59B5"/>
    <w:rsid w:val="7FEF40A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4">
    <w:name w:val="Default Paragraph Font"/>
    <w:semiHidden/>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内"/>
    <w:basedOn w:val="1"/>
    <w:qFormat/>
    <w:uiPriority w:val="99"/>
    <w:pPr>
      <w:adjustRightInd w:val="0"/>
      <w:spacing w:line="240" w:lineRule="atLeast"/>
      <w:jc w:val="center"/>
      <w:textAlignment w:val="baseline"/>
    </w:pPr>
    <w:rPr>
      <w:rFonts w:ascii="宋体"/>
      <w:kern w:val="0"/>
      <w:sz w:val="28"/>
      <w:szCs w:val="20"/>
    </w:rPr>
  </w:style>
  <w:style w:type="paragraph" w:styleId="3">
    <w:name w:val="Normal Indent"/>
    <w:basedOn w:val="1"/>
    <w:link w:val="29"/>
    <w:qFormat/>
    <w:uiPriority w:val="99"/>
    <w:pPr>
      <w:spacing w:line="520" w:lineRule="exact"/>
      <w:ind w:firstLine="624"/>
    </w:pPr>
    <w:rPr>
      <w:rFonts w:eastAsia="宋体"/>
      <w:sz w:val="28"/>
      <w:szCs w:val="20"/>
    </w:rPr>
  </w:style>
  <w:style w:type="paragraph" w:styleId="4">
    <w:name w:val="annotation text"/>
    <w:basedOn w:val="1"/>
    <w:link w:val="17"/>
    <w:semiHidden/>
    <w:qFormat/>
    <w:locked/>
    <w:uiPriority w:val="99"/>
    <w:pPr>
      <w:jc w:val="left"/>
    </w:pPr>
  </w:style>
  <w:style w:type="paragraph" w:styleId="5">
    <w:name w:val="Body Text"/>
    <w:basedOn w:val="1"/>
    <w:link w:val="18"/>
    <w:qFormat/>
    <w:uiPriority w:val="99"/>
    <w:pPr>
      <w:spacing w:after="120"/>
    </w:pPr>
    <w:rPr>
      <w:kern w:val="0"/>
    </w:rPr>
  </w:style>
  <w:style w:type="paragraph" w:styleId="6">
    <w:name w:val="Body Text Indent"/>
    <w:basedOn w:val="1"/>
    <w:link w:val="19"/>
    <w:qFormat/>
    <w:uiPriority w:val="99"/>
    <w:pPr>
      <w:spacing w:after="120"/>
      <w:ind w:left="420" w:leftChars="200"/>
    </w:pPr>
  </w:style>
  <w:style w:type="paragraph" w:styleId="7">
    <w:name w:val="Plain Text"/>
    <w:basedOn w:val="1"/>
    <w:link w:val="26"/>
    <w:uiPriority w:val="99"/>
    <w:rPr>
      <w:rFonts w:ascii="宋体" w:hAnsi="Courier New"/>
      <w:sz w:val="28"/>
      <w:szCs w:val="20"/>
    </w:rPr>
  </w:style>
  <w:style w:type="paragraph" w:styleId="8">
    <w:name w:val="Balloon Text"/>
    <w:basedOn w:val="1"/>
    <w:link w:val="30"/>
    <w:semiHidden/>
    <w:locked/>
    <w:uiPriority w:val="99"/>
    <w:rPr>
      <w:sz w:val="18"/>
      <w:szCs w:val="18"/>
    </w:rPr>
  </w:style>
  <w:style w:type="paragraph" w:styleId="9">
    <w:name w:val="footer"/>
    <w:basedOn w:val="1"/>
    <w:link w:val="21"/>
    <w:uiPriority w:val="99"/>
    <w:pPr>
      <w:tabs>
        <w:tab w:val="center" w:pos="4153"/>
        <w:tab w:val="right" w:pos="8306"/>
      </w:tabs>
      <w:snapToGrid w:val="0"/>
      <w:jc w:val="left"/>
    </w:pPr>
    <w:rPr>
      <w:kern w:val="0"/>
      <w:sz w:val="18"/>
      <w:szCs w:val="18"/>
    </w:rPr>
  </w:style>
  <w:style w:type="paragraph" w:styleId="10">
    <w:name w:val="header"/>
    <w:basedOn w:val="1"/>
    <w:link w:val="22"/>
    <w:qFormat/>
    <w:uiPriority w:val="99"/>
    <w:pPr>
      <w:pBdr>
        <w:bottom w:val="thickThinSmallGap" w:color="auto" w:sz="24" w:space="1"/>
      </w:pBdr>
      <w:tabs>
        <w:tab w:val="center" w:pos="4153"/>
        <w:tab w:val="right" w:pos="8306"/>
      </w:tabs>
      <w:snapToGrid w:val="0"/>
      <w:jc w:val="center"/>
    </w:pPr>
    <w:rPr>
      <w:kern w:val="0"/>
      <w:sz w:val="18"/>
      <w:szCs w:val="18"/>
    </w:rPr>
  </w:style>
  <w:style w:type="paragraph" w:styleId="11">
    <w:name w:val="annotation subject"/>
    <w:basedOn w:val="4"/>
    <w:next w:val="4"/>
    <w:link w:val="31"/>
    <w:semiHidden/>
    <w:qFormat/>
    <w:locked/>
    <w:uiPriority w:val="99"/>
    <w:rPr>
      <w:b/>
      <w:bCs/>
    </w:rPr>
  </w:style>
  <w:style w:type="paragraph" w:styleId="12">
    <w:name w:val="Body Text First Indent 2"/>
    <w:basedOn w:val="6"/>
    <w:link w:val="32"/>
    <w:qFormat/>
    <w:locked/>
    <w:uiPriority w:val="99"/>
    <w:pPr>
      <w:ind w:firstLine="420" w:firstLineChars="200"/>
    </w:pPr>
  </w:style>
  <w:style w:type="character" w:styleId="15">
    <w:name w:val="page number"/>
    <w:basedOn w:val="14"/>
    <w:qFormat/>
    <w:uiPriority w:val="99"/>
    <w:rPr>
      <w:rFonts w:cs="Times New Roman"/>
    </w:rPr>
  </w:style>
  <w:style w:type="character" w:styleId="16">
    <w:name w:val="annotation reference"/>
    <w:basedOn w:val="14"/>
    <w:qFormat/>
    <w:uiPriority w:val="99"/>
    <w:rPr>
      <w:rFonts w:cs="Times New Roman"/>
      <w:sz w:val="21"/>
    </w:rPr>
  </w:style>
  <w:style w:type="character" w:customStyle="1" w:styleId="17">
    <w:name w:val="Comment Text Char"/>
    <w:basedOn w:val="14"/>
    <w:link w:val="4"/>
    <w:semiHidden/>
    <w:qFormat/>
    <w:locked/>
    <w:uiPriority w:val="99"/>
    <w:rPr>
      <w:rFonts w:eastAsia="仿宋_GB2312" w:cs="Times New Roman"/>
      <w:sz w:val="32"/>
      <w:szCs w:val="32"/>
    </w:rPr>
  </w:style>
  <w:style w:type="character" w:customStyle="1" w:styleId="18">
    <w:name w:val="Body Text Char"/>
    <w:basedOn w:val="14"/>
    <w:link w:val="5"/>
    <w:semiHidden/>
    <w:locked/>
    <w:uiPriority w:val="99"/>
    <w:rPr>
      <w:rFonts w:ascii="Times New Roman" w:hAnsi="Times New Roman" w:eastAsia="仿宋_GB2312" w:cs="Times New Roman"/>
      <w:sz w:val="32"/>
    </w:rPr>
  </w:style>
  <w:style w:type="character" w:customStyle="1" w:styleId="19">
    <w:name w:val="Body Text Indent Char"/>
    <w:basedOn w:val="14"/>
    <w:link w:val="6"/>
    <w:locked/>
    <w:uiPriority w:val="99"/>
    <w:rPr>
      <w:rFonts w:eastAsia="仿宋_GB2312" w:cs="Times New Roman"/>
      <w:kern w:val="2"/>
      <w:sz w:val="32"/>
    </w:rPr>
  </w:style>
  <w:style w:type="character" w:customStyle="1" w:styleId="20">
    <w:name w:val="Plain Text Char"/>
    <w:basedOn w:val="14"/>
    <w:link w:val="7"/>
    <w:locked/>
    <w:uiPriority w:val="99"/>
    <w:rPr>
      <w:rFonts w:ascii="宋体" w:hAnsi="Courier New" w:cs="Times New Roman"/>
      <w:kern w:val="2"/>
      <w:sz w:val="21"/>
    </w:rPr>
  </w:style>
  <w:style w:type="character" w:customStyle="1" w:styleId="21">
    <w:name w:val="Footer Char"/>
    <w:basedOn w:val="14"/>
    <w:link w:val="9"/>
    <w:semiHidden/>
    <w:qFormat/>
    <w:locked/>
    <w:uiPriority w:val="99"/>
    <w:rPr>
      <w:rFonts w:ascii="Times New Roman" w:hAnsi="Times New Roman" w:eastAsia="仿宋_GB2312" w:cs="Times New Roman"/>
      <w:sz w:val="18"/>
    </w:rPr>
  </w:style>
  <w:style w:type="character" w:customStyle="1" w:styleId="22">
    <w:name w:val="Header Char"/>
    <w:basedOn w:val="14"/>
    <w:link w:val="10"/>
    <w:semiHidden/>
    <w:qFormat/>
    <w:locked/>
    <w:uiPriority w:val="99"/>
    <w:rPr>
      <w:rFonts w:ascii="Times New Roman" w:hAnsi="Times New Roman" w:eastAsia="仿宋_GB2312" w:cs="Times New Roman"/>
      <w:sz w:val="18"/>
    </w:rPr>
  </w:style>
  <w:style w:type="paragraph" w:customStyle="1" w:styleId="23">
    <w:name w:val="Default"/>
    <w:basedOn w:val="1"/>
    <w:next w:val="1"/>
    <w:qFormat/>
    <w:uiPriority w:val="99"/>
    <w:pPr>
      <w:autoSpaceDE w:val="0"/>
      <w:autoSpaceDN w:val="0"/>
      <w:jc w:val="left"/>
    </w:pPr>
    <w:rPr>
      <w:rFonts w:ascii="宋体" w:eastAsia="宋体"/>
      <w:color w:val="000000"/>
      <w:kern w:val="0"/>
      <w:sz w:val="24"/>
      <w:szCs w:val="24"/>
    </w:rPr>
  </w:style>
  <w:style w:type="paragraph" w:customStyle="1" w:styleId="24">
    <w:name w:val="表内文字"/>
    <w:basedOn w:val="1"/>
    <w:qFormat/>
    <w:uiPriority w:val="99"/>
    <w:pPr>
      <w:widowControl/>
      <w:adjustRightInd w:val="0"/>
      <w:snapToGrid w:val="0"/>
      <w:spacing w:line="240" w:lineRule="atLeast"/>
      <w:jc w:val="center"/>
    </w:pPr>
    <w:rPr>
      <w:rFonts w:eastAsia="宋体"/>
      <w:kern w:val="0"/>
      <w:sz w:val="21"/>
      <w:szCs w:val="20"/>
    </w:rPr>
  </w:style>
  <w:style w:type="paragraph" w:customStyle="1" w:styleId="25">
    <w:name w:val="9"/>
    <w:basedOn w:val="1"/>
    <w:uiPriority w:val="99"/>
    <w:pPr>
      <w:spacing w:line="460" w:lineRule="exact"/>
      <w:ind w:firstLine="480" w:firstLineChars="200"/>
    </w:pPr>
    <w:rPr>
      <w:rFonts w:ascii="宋体" w:hAnsi="宋体" w:eastAsia="宋体"/>
      <w:bCs/>
      <w:sz w:val="24"/>
      <w:szCs w:val="24"/>
    </w:rPr>
  </w:style>
  <w:style w:type="character" w:customStyle="1" w:styleId="26">
    <w:name w:val="Plain Text Char1"/>
    <w:link w:val="7"/>
    <w:qFormat/>
    <w:locked/>
    <w:uiPriority w:val="99"/>
    <w:rPr>
      <w:rFonts w:ascii="宋体" w:hAnsi="Courier New" w:eastAsia="仿宋_GB2312"/>
      <w:kern w:val="2"/>
      <w:sz w:val="28"/>
    </w:rPr>
  </w:style>
  <w:style w:type="paragraph" w:customStyle="1" w:styleId="27">
    <w:name w:val="正文格式"/>
    <w:link w:val="28"/>
    <w:qFormat/>
    <w:uiPriority w:val="99"/>
    <w:pPr>
      <w:spacing w:line="360" w:lineRule="auto"/>
      <w:ind w:firstLine="200" w:firstLineChars="200"/>
    </w:pPr>
    <w:rPr>
      <w:rFonts w:ascii="宋体" w:hAnsi="Times New Roman" w:eastAsia="宋体" w:cs="Times New Roman"/>
      <w:color w:val="000000"/>
      <w:w w:val="110"/>
      <w:kern w:val="0"/>
      <w:sz w:val="22"/>
      <w:szCs w:val="22"/>
      <w:lang w:val="en-US" w:eastAsia="zh-CN" w:bidi="ar-SA"/>
    </w:rPr>
  </w:style>
  <w:style w:type="character" w:customStyle="1" w:styleId="28">
    <w:name w:val="正文格式 Char Char"/>
    <w:link w:val="27"/>
    <w:qFormat/>
    <w:locked/>
    <w:uiPriority w:val="99"/>
    <w:rPr>
      <w:rFonts w:ascii="宋体"/>
      <w:color w:val="000000"/>
      <w:w w:val="110"/>
      <w:sz w:val="22"/>
    </w:rPr>
  </w:style>
  <w:style w:type="character" w:customStyle="1" w:styleId="29">
    <w:name w:val="Normal Indent Char"/>
    <w:link w:val="3"/>
    <w:qFormat/>
    <w:locked/>
    <w:uiPriority w:val="99"/>
    <w:rPr>
      <w:kern w:val="2"/>
      <w:sz w:val="28"/>
    </w:rPr>
  </w:style>
  <w:style w:type="character" w:customStyle="1" w:styleId="30">
    <w:name w:val="Balloon Text Char"/>
    <w:basedOn w:val="14"/>
    <w:link w:val="8"/>
    <w:semiHidden/>
    <w:qFormat/>
    <w:locked/>
    <w:uiPriority w:val="99"/>
    <w:rPr>
      <w:rFonts w:eastAsia="仿宋_GB2312" w:cs="Times New Roman"/>
      <w:sz w:val="2"/>
    </w:rPr>
  </w:style>
  <w:style w:type="character" w:customStyle="1" w:styleId="31">
    <w:name w:val="Comment Subject Char"/>
    <w:basedOn w:val="17"/>
    <w:link w:val="11"/>
    <w:semiHidden/>
    <w:qFormat/>
    <w:locked/>
    <w:uiPriority w:val="99"/>
    <w:rPr>
      <w:b/>
      <w:bCs/>
    </w:rPr>
  </w:style>
  <w:style w:type="character" w:customStyle="1" w:styleId="32">
    <w:name w:val="Body Text First Indent 2 Char"/>
    <w:basedOn w:val="19"/>
    <w:link w:val="12"/>
    <w:semiHidden/>
    <w:qFormat/>
    <w:locked/>
    <w:uiPriority w:val="99"/>
    <w:rPr>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365</Words>
  <Characters>2087</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2021-04-01T12:05:00Z</dcterms:created>
  <dc:creator>Administrator</dc:creator>
  <cp:lastModifiedBy>陌</cp:lastModifiedBy>
  <cp:lastPrinted>2021-08-10T10:56:34Z</cp:lastPrinted>
  <dcterms:modified xsi:type="dcterms:W3CDTF">2021-08-10T12:12:16Z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C2E2E6569DEA4569BC66F89F5C465C4C</vt:lpwstr>
  </property>
</Properties>
</file>