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sz w:val="36"/>
        </w:rPr>
      </w:pPr>
    </w:p>
    <w:p>
      <w:pPr>
        <w:pStyle w:val="2"/>
        <w:rPr>
          <w:sz w:val="28"/>
        </w:rPr>
      </w:pPr>
    </w:p>
    <w:p>
      <w:pPr>
        <w:pStyle w:val="2"/>
        <w:spacing w:line="264" w:lineRule="auto"/>
        <w:rPr>
          <w:sz w:val="28"/>
        </w:rPr>
      </w:pPr>
    </w:p>
    <w:p>
      <w:pPr>
        <w:pStyle w:val="2"/>
        <w:spacing w:line="264" w:lineRule="auto"/>
        <w:rPr>
          <w:sz w:val="48"/>
          <w:szCs w:val="44"/>
        </w:rPr>
      </w:pPr>
    </w:p>
    <w:p>
      <w:pPr>
        <w:spacing w:line="560" w:lineRule="exact"/>
        <w:rPr>
          <w:sz w:val="52"/>
        </w:rPr>
      </w:pPr>
      <w:r>
        <w:pict>
          <v:shape id="_x0000_s1027" o:spid="_x0000_s1027" o:spt="202" type="#_x0000_t202" style="position:absolute;left:0pt;margin-left:99pt;margin-top:16.75pt;height:39.5pt;width:232.2pt;z-index:251659264;mso-width-relative:page;mso-height-relative:page;" stroked="t" coordsize="21600,21600"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ir+e2AAAAAoBAAAPAAAAAAAAAAEAIAAAACIA&#10;AABkcnMvZG93bnJldi54bWxQSwECFAAUAAAACACHTuJAHXW3eQkCAAA2BAAADgAAAAAAAAABACAA&#10;AAAnAQAAZHJzL2Uyb0RvYy54bWxQSwUGAAAAAAYABgBZAQAAogUAAAAA&#10;">
            <v:path/>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w:t>
                  </w:r>
                  <w:r>
                    <w:rPr>
                      <w:rFonts w:hint="eastAsia"/>
                      <w:lang w:val="en-US" w:eastAsia="zh-CN"/>
                    </w:rPr>
                    <w:t>62</w:t>
                  </w:r>
                  <w:r>
                    <w:rPr>
                      <w:rFonts w:hint="eastAsia"/>
                    </w:rPr>
                    <w:t>号</w:t>
                  </w:r>
                </w:p>
              </w:txbxContent>
            </v:textbox>
          </v:shape>
        </w:pict>
      </w:r>
    </w:p>
    <w:p>
      <w:pPr>
        <w:adjustRightInd w:val="0"/>
        <w:snapToGrid w:val="0"/>
        <w:spacing w:line="640" w:lineRule="exact"/>
        <w:jc w:val="center"/>
        <w:rPr>
          <w:rFonts w:eastAsia="方正小标宋简体"/>
          <w:w w:val="95"/>
          <w:sz w:val="44"/>
          <w:szCs w:val="44"/>
        </w:rPr>
      </w:pPr>
    </w:p>
    <w:p>
      <w:pPr>
        <w:pStyle w:val="2"/>
      </w:pPr>
    </w:p>
    <w:p>
      <w:pPr>
        <w:adjustRightInd w:val="0"/>
        <w:snapToGrid w:val="0"/>
        <w:spacing w:line="640" w:lineRule="exact"/>
        <w:jc w:val="center"/>
        <w:rPr>
          <w:rFonts w:eastAsia="方正小标宋简体"/>
          <w:w w:val="95"/>
          <w:sz w:val="44"/>
          <w:szCs w:val="44"/>
        </w:rPr>
      </w:pPr>
      <w:r>
        <w:rPr>
          <w:rFonts w:hint="eastAsia" w:eastAsia="方正小标宋简体"/>
          <w:w w:val="95"/>
          <w:sz w:val="44"/>
          <w:szCs w:val="44"/>
        </w:rPr>
        <w:t>关于三团农林业废弃物秸秆综合利用建设项目</w:t>
      </w:r>
    </w:p>
    <w:p>
      <w:pPr>
        <w:adjustRightInd w:val="0"/>
        <w:snapToGrid w:val="0"/>
        <w:spacing w:line="640" w:lineRule="exact"/>
        <w:jc w:val="center"/>
        <w:rPr>
          <w:rFonts w:eastAsia="方正小标宋简体"/>
          <w:w w:val="95"/>
          <w:sz w:val="44"/>
          <w:szCs w:val="44"/>
        </w:rPr>
      </w:pPr>
      <w:r>
        <w:rPr>
          <w:rFonts w:hint="eastAsia" w:eastAsia="方正小标宋简体"/>
          <w:w w:val="95"/>
          <w:sz w:val="44"/>
          <w:szCs w:val="44"/>
        </w:rPr>
        <w:t>（一期）环境影响报告表的批复</w:t>
      </w:r>
    </w:p>
    <w:p>
      <w:pPr>
        <w:adjustRightInd w:val="0"/>
        <w:snapToGrid w:val="0"/>
        <w:spacing w:line="560" w:lineRule="exact"/>
      </w:pPr>
    </w:p>
    <w:p>
      <w:pPr>
        <w:adjustRightInd w:val="0"/>
        <w:spacing w:line="560" w:lineRule="exact"/>
        <w:rPr>
          <w:rFonts w:ascii="仿宋_GB2312" w:hAnsi="仿宋" w:cs="仿宋"/>
        </w:rPr>
      </w:pPr>
      <w:r>
        <w:rPr>
          <w:rFonts w:hint="eastAsia" w:ascii="仿宋_GB2312" w:hAnsi="仿宋"/>
          <w:color w:val="000000"/>
          <w:spacing w:val="-10"/>
        </w:rPr>
        <w:t>新疆阿拉尔市润</w:t>
      </w:r>
      <w:r>
        <w:rPr>
          <w:rFonts w:hint="eastAsia" w:ascii="宋体" w:hAnsi="宋体" w:eastAsia="宋体" w:cs="宋体"/>
          <w:color w:val="000000"/>
          <w:spacing w:val="-10"/>
        </w:rPr>
        <w:t>垚</w:t>
      </w:r>
      <w:r>
        <w:rPr>
          <w:rFonts w:hint="eastAsia" w:ascii="仿宋_GB2312" w:hAnsi="仿宋"/>
          <w:color w:val="000000"/>
          <w:spacing w:val="-10"/>
        </w:rPr>
        <w:t>农林科技有限公司</w:t>
      </w:r>
      <w:r>
        <w:rPr>
          <w:rFonts w:hint="eastAsia" w:ascii="仿宋_GB2312" w:hAnsi="仿宋" w:cs="仿宋"/>
        </w:rPr>
        <w:t>：</w:t>
      </w:r>
    </w:p>
    <w:p>
      <w:pPr>
        <w:adjustRightInd w:val="0"/>
        <w:snapToGrid w:val="0"/>
        <w:spacing w:line="560" w:lineRule="exact"/>
        <w:ind w:firstLine="630"/>
        <w:rPr>
          <w:rFonts w:ascii="仿宋_GB2312"/>
        </w:rPr>
      </w:pPr>
      <w:r>
        <w:rPr>
          <w:rFonts w:hint="eastAsia" w:ascii="仿宋_GB2312"/>
        </w:rPr>
        <w:t>你单位报送的《关于送审</w:t>
      </w:r>
      <w:r>
        <w:rPr>
          <w:rFonts w:hint="eastAsia" w:ascii="仿宋_GB2312" w:hAnsi="仿宋"/>
          <w:color w:val="000000"/>
          <w:spacing w:val="-10"/>
        </w:rPr>
        <w:t>三团农林业废弃物秸秆综合利用建设项目（一期）</w:t>
      </w:r>
      <w:r>
        <w:rPr>
          <w:rFonts w:hint="eastAsia" w:ascii="仿宋_GB2312" w:hAnsi="仿宋" w:cs="仿宋"/>
        </w:rPr>
        <w:t>环境影响报告表</w:t>
      </w:r>
      <w:r>
        <w:rPr>
          <w:rFonts w:hint="eastAsia" w:ascii="仿宋_GB2312"/>
        </w:rPr>
        <w:t>的请示》及《</w:t>
      </w:r>
      <w:r>
        <w:rPr>
          <w:rFonts w:hint="eastAsia" w:ascii="仿宋_GB2312" w:hAnsi="仿宋"/>
          <w:color w:val="000000"/>
          <w:spacing w:val="-10"/>
        </w:rPr>
        <w:t>三团农林业废弃物秸秆综合利用建设项目（一期）</w:t>
      </w:r>
      <w:r>
        <w:rPr>
          <w:rFonts w:hint="eastAsia" w:ascii="仿宋_GB2312" w:hAnsi="仿宋" w:cs="仿宋"/>
        </w:rPr>
        <w:t>环境影响报告表</w:t>
      </w:r>
      <w:r>
        <w:rPr>
          <w:rFonts w:hint="eastAsia" w:ascii="仿宋_GB2312"/>
        </w:rPr>
        <w:t>》（以下简称“报告表”）收悉。经专家审查和研究，现批复如下：</w:t>
      </w:r>
    </w:p>
    <w:p>
      <w:pPr>
        <w:adjustRightInd w:val="0"/>
        <w:snapToGrid w:val="0"/>
        <w:spacing w:line="560" w:lineRule="exact"/>
        <w:ind w:firstLine="610" w:firstLineChars="200"/>
        <w:rPr>
          <w:rFonts w:ascii="仿宋_GB2312"/>
        </w:rPr>
      </w:pPr>
      <w:r>
        <w:rPr>
          <w:rFonts w:hint="eastAsia" w:ascii="仿宋_GB2312"/>
        </w:rPr>
        <w:t>一、该项目选址位于第一师三团，厂区东侧为幸福路、南侧为新疆佳霖果业有限公司、西侧为空地、北侧直线距离约100米处为三团集中供热锅炉房</w:t>
      </w:r>
      <w:r>
        <w:rPr>
          <w:rFonts w:hint="eastAsia" w:ascii="仿宋_GB2312"/>
          <w:lang w:eastAsia="zh-CN"/>
        </w:rPr>
        <w:t>，</w:t>
      </w:r>
      <w:r>
        <w:rPr>
          <w:rFonts w:hint="eastAsia" w:ascii="仿宋_GB2312"/>
        </w:rPr>
        <w:t>厂址中心地理坐标为东经</w:t>
      </w:r>
      <w:r>
        <w:rPr>
          <w:rFonts w:ascii="仿宋_GB2312"/>
        </w:rPr>
        <w:t>80</w:t>
      </w:r>
      <w:r>
        <w:rPr>
          <w:rFonts w:hint="eastAsia" w:ascii="仿宋_GB2312"/>
        </w:rPr>
        <w:t>°</w:t>
      </w:r>
      <w:r>
        <w:rPr>
          <w:rFonts w:ascii="仿宋_GB2312"/>
        </w:rPr>
        <w:t>3</w:t>
      </w:r>
      <w:r>
        <w:rPr>
          <w:rFonts w:hint="eastAsia" w:ascii="仿宋_GB2312"/>
        </w:rPr>
        <w:t>′</w:t>
      </w:r>
      <w:r>
        <w:rPr>
          <w:rFonts w:ascii="仿宋_GB2312"/>
        </w:rPr>
        <w:t>16.037</w:t>
      </w:r>
      <w:r>
        <w:rPr>
          <w:rFonts w:hint="eastAsia" w:ascii="仿宋_GB2312"/>
        </w:rPr>
        <w:t>″，北纬</w:t>
      </w:r>
      <w:r>
        <w:rPr>
          <w:rFonts w:ascii="仿宋_GB2312"/>
        </w:rPr>
        <w:t>40</w:t>
      </w:r>
      <w:r>
        <w:rPr>
          <w:rFonts w:hint="eastAsia" w:ascii="仿宋_GB2312"/>
        </w:rPr>
        <w:t>°</w:t>
      </w:r>
      <w:r>
        <w:rPr>
          <w:rFonts w:ascii="仿宋_GB2312"/>
        </w:rPr>
        <w:t>21</w:t>
      </w:r>
      <w:r>
        <w:rPr>
          <w:rFonts w:hint="eastAsia" w:ascii="仿宋_GB2312"/>
        </w:rPr>
        <w:t>′</w:t>
      </w:r>
      <w:r>
        <w:rPr>
          <w:rFonts w:ascii="仿宋_GB2312"/>
        </w:rPr>
        <w:t>34.995</w:t>
      </w:r>
      <w:r>
        <w:rPr>
          <w:rFonts w:hint="eastAsia" w:ascii="仿宋_GB2312"/>
        </w:rPr>
        <w:t>″。项目占地</w:t>
      </w:r>
      <w:r>
        <w:rPr>
          <w:rFonts w:ascii="仿宋_GB2312"/>
        </w:rPr>
        <w:t>6670.12</w:t>
      </w:r>
      <w:r>
        <w:rPr>
          <w:rFonts w:hint="eastAsia" w:ascii="仿宋_GB2312"/>
        </w:rPr>
        <w:t>平方米，新建</w:t>
      </w:r>
      <w:r>
        <w:rPr>
          <w:rFonts w:ascii="仿宋_GB2312"/>
        </w:rPr>
        <w:t>1</w:t>
      </w:r>
      <w:r>
        <w:rPr>
          <w:rFonts w:hint="eastAsia" w:ascii="仿宋_GB2312"/>
        </w:rPr>
        <w:t>条炭</w:t>
      </w:r>
      <w:r>
        <w:rPr>
          <w:rFonts w:ascii="仿宋_GB2312"/>
        </w:rPr>
        <w:t>-</w:t>
      </w:r>
      <w:r>
        <w:rPr>
          <w:rFonts w:hint="eastAsia" w:ascii="仿宋_GB2312"/>
        </w:rPr>
        <w:t>气</w:t>
      </w:r>
      <w:r>
        <w:rPr>
          <w:rFonts w:ascii="仿宋_GB2312"/>
        </w:rPr>
        <w:t>-</w:t>
      </w:r>
      <w:r>
        <w:rPr>
          <w:rFonts w:hint="eastAsia" w:ascii="仿宋_GB2312"/>
        </w:rPr>
        <w:t>电联产生产线和</w:t>
      </w:r>
      <w:r>
        <w:rPr>
          <w:rFonts w:ascii="仿宋_GB2312"/>
        </w:rPr>
        <w:t>1</w:t>
      </w:r>
      <w:r>
        <w:rPr>
          <w:rFonts w:hint="eastAsia" w:ascii="仿宋_GB2312"/>
        </w:rPr>
        <w:t>条炭基生物有机肥生产线，主要建设一座厂房，辅助建设综合楼、办公室、值班室、泵房、消防水池等辅助工程，同时配套储运工程、公用工程和环保工程。建设项目总投资</w:t>
      </w:r>
      <w:r>
        <w:rPr>
          <w:rFonts w:ascii="仿宋_GB2312"/>
        </w:rPr>
        <w:t>3500</w:t>
      </w:r>
      <w:r>
        <w:rPr>
          <w:rFonts w:hint="eastAsia" w:ascii="仿宋_GB2312"/>
        </w:rPr>
        <w:t>万元，其中环保投资</w:t>
      </w:r>
      <w:r>
        <w:rPr>
          <w:rFonts w:ascii="仿宋_GB2312"/>
        </w:rPr>
        <w:t>70</w:t>
      </w:r>
      <w:r>
        <w:rPr>
          <w:rFonts w:hint="eastAsia" w:ascii="仿宋_GB2312"/>
        </w:rPr>
        <w:t>万元，占总投资的</w:t>
      </w:r>
      <w:r>
        <w:rPr>
          <w:rFonts w:ascii="仿宋_GB2312"/>
        </w:rPr>
        <w:t>2.0</w:t>
      </w:r>
      <w:r>
        <w:rPr>
          <w:rFonts w:hint="eastAsia" w:ascii="仿宋_GB2312"/>
        </w:rPr>
        <w:t>％。</w:t>
      </w:r>
    </w:p>
    <w:p>
      <w:pPr>
        <w:adjustRightInd w:val="0"/>
        <w:snapToGrid w:val="0"/>
        <w:spacing w:line="560" w:lineRule="exact"/>
        <w:ind w:firstLine="610" w:firstLineChars="200"/>
        <w:rPr>
          <w:rFonts w:ascii="仿宋_GB2312"/>
        </w:rPr>
      </w:pPr>
      <w:r>
        <w:rPr>
          <w:rFonts w:hint="eastAsia" w:ascii="仿宋_GB2312"/>
        </w:rPr>
        <w:t>二、该项目为肥料制造和生物质能发电项目，我局原则同意报告表的结论。</w:t>
      </w:r>
      <w:r>
        <w:rPr>
          <w:rFonts w:hint="eastAsia" w:ascii="仿宋_GB2312"/>
          <w:color w:val="000000"/>
        </w:rPr>
        <w:t>项</w:t>
      </w:r>
      <w:r>
        <w:rPr>
          <w:rFonts w:hint="eastAsia" w:ascii="仿宋_GB2312"/>
        </w:rPr>
        <w:t>目经投资主管部门依法审批后，你单位须严格按照报告表所列建设项目的性质、规模、地点、工艺和环境保护对策措施实施项目建设和运营。</w:t>
      </w:r>
    </w:p>
    <w:p>
      <w:pPr>
        <w:snapToGrid w:val="0"/>
        <w:spacing w:line="560" w:lineRule="exact"/>
        <w:ind w:firstLine="610" w:firstLineChars="200"/>
        <w:rPr>
          <w:rFonts w:ascii="仿宋_GB2312"/>
        </w:rPr>
      </w:pPr>
      <w:r>
        <w:rPr>
          <w:rFonts w:hint="eastAsia" w:ascii="仿宋_GB2312"/>
        </w:rPr>
        <w:t>三、你单位在运营中，应严格执行有关环境质量标准和污染物排放标准，认真、全面落实报告表提出的各项环保对策措施要求，确保污染物达标排放和各环境敏感点满足相应功能要求，加强生态保护工作，重点做好以下工作：</w:t>
      </w:r>
    </w:p>
    <w:p>
      <w:pPr>
        <w:snapToGrid w:val="0"/>
        <w:spacing w:line="560" w:lineRule="exact"/>
        <w:ind w:firstLine="610" w:firstLineChars="200"/>
        <w:rPr>
          <w:rFonts w:ascii="仿宋_GB2312"/>
        </w:rPr>
      </w:pPr>
      <w:r>
        <w:rPr>
          <w:rFonts w:hint="eastAsia" w:ascii="仿宋_GB2312"/>
        </w:rPr>
        <w:t>（一）认真落实施工期环境保护措施。做好施工过程中的降噪、防尘措施、施工固废清理和</w:t>
      </w:r>
      <w:r>
        <w:rPr>
          <w:rFonts w:hint="eastAsia" w:ascii="仿宋_GB2312"/>
          <w:bCs/>
        </w:rPr>
        <w:t>水土保持、防沙治沙等</w:t>
      </w:r>
      <w:r>
        <w:rPr>
          <w:rFonts w:hint="eastAsia" w:ascii="仿宋_GB2312"/>
        </w:rPr>
        <w:t>生态保护措施，妥善处置施工废弃物、生活垃圾及生活污水。</w:t>
      </w:r>
    </w:p>
    <w:p>
      <w:pPr>
        <w:adjustRightInd w:val="0"/>
        <w:snapToGrid w:val="0"/>
        <w:spacing w:line="560" w:lineRule="exact"/>
        <w:ind w:firstLine="610" w:firstLineChars="200"/>
        <w:rPr>
          <w:rFonts w:hint="eastAsia" w:ascii="仿宋_GB2312" w:hAnsi="宋体" w:eastAsia="仿宋_GB2312"/>
          <w:color w:val="000000"/>
          <w:lang w:eastAsia="zh-CN"/>
        </w:rPr>
      </w:pPr>
      <w:r>
        <w:rPr>
          <w:rFonts w:hint="eastAsia" w:ascii="仿宋_GB2312"/>
        </w:rPr>
        <w:t>（二）严格落实大气污染防治措施。</w:t>
      </w:r>
      <w:r>
        <w:rPr>
          <w:rFonts w:hint="eastAsia" w:ascii="仿宋_GB2312" w:hAnsi="仿宋" w:cs="仿宋"/>
        </w:rPr>
        <w:t>该项目运营期有组织废气主要为炭</w:t>
      </w:r>
      <w:r>
        <w:rPr>
          <w:rFonts w:ascii="仿宋_GB2312" w:hAnsi="仿宋" w:cs="仿宋"/>
        </w:rPr>
        <w:t>-</w:t>
      </w:r>
      <w:r>
        <w:rPr>
          <w:rFonts w:hint="eastAsia" w:ascii="仿宋_GB2312" w:hAnsi="仿宋" w:cs="仿宋"/>
        </w:rPr>
        <w:t>气</w:t>
      </w:r>
      <w:r>
        <w:rPr>
          <w:rFonts w:ascii="仿宋_GB2312" w:hAnsi="仿宋" w:cs="仿宋"/>
        </w:rPr>
        <w:t>-</w:t>
      </w:r>
      <w:r>
        <w:rPr>
          <w:rFonts w:hint="eastAsia" w:ascii="仿宋_GB2312" w:hAnsi="仿宋" w:cs="仿宋"/>
        </w:rPr>
        <w:t>电联产和炭基生物有机肥</w:t>
      </w:r>
      <w:r>
        <w:rPr>
          <w:rFonts w:ascii="仿宋_GB2312" w:hAnsi="仿宋" w:cs="仿宋"/>
        </w:rPr>
        <w:t>2</w:t>
      </w:r>
      <w:r>
        <w:rPr>
          <w:rFonts w:hint="eastAsia" w:ascii="仿宋_GB2312" w:hAnsi="仿宋" w:cs="仿宋"/>
        </w:rPr>
        <w:t>个生产线生产过程中产生的含尘废气、炭</w:t>
      </w:r>
      <w:r>
        <w:rPr>
          <w:rFonts w:ascii="仿宋_GB2312" w:hAnsi="仿宋" w:cs="仿宋"/>
        </w:rPr>
        <w:t>-</w:t>
      </w:r>
      <w:r>
        <w:rPr>
          <w:rFonts w:hint="eastAsia" w:ascii="仿宋_GB2312" w:hAnsi="仿宋" w:cs="仿宋"/>
        </w:rPr>
        <w:t>气</w:t>
      </w:r>
      <w:r>
        <w:rPr>
          <w:rFonts w:ascii="仿宋_GB2312" w:hAnsi="仿宋" w:cs="仿宋"/>
        </w:rPr>
        <w:t>-</w:t>
      </w:r>
      <w:r>
        <w:rPr>
          <w:rFonts w:hint="eastAsia" w:ascii="仿宋_GB2312" w:hAnsi="仿宋" w:cs="仿宋"/>
        </w:rPr>
        <w:t>电联产生产线发电机组燃用生物质可燃气产生的烟气、和食堂烹饪油烟。炭</w:t>
      </w:r>
      <w:r>
        <w:rPr>
          <w:rFonts w:ascii="仿宋_GB2312" w:hAnsi="仿宋" w:cs="仿宋"/>
        </w:rPr>
        <w:t>-</w:t>
      </w:r>
      <w:r>
        <w:rPr>
          <w:rFonts w:hint="eastAsia" w:ascii="仿宋_GB2312" w:hAnsi="仿宋" w:cs="仿宋"/>
        </w:rPr>
        <w:t>气</w:t>
      </w:r>
      <w:r>
        <w:rPr>
          <w:rFonts w:ascii="仿宋_GB2312" w:hAnsi="仿宋" w:cs="仿宋"/>
        </w:rPr>
        <w:t>-</w:t>
      </w:r>
      <w:r>
        <w:rPr>
          <w:rFonts w:hint="eastAsia" w:ascii="仿宋_GB2312" w:hAnsi="仿宋" w:cs="仿宋"/>
        </w:rPr>
        <w:t>电联产生产线的含尘废气经“集尘罩</w:t>
      </w:r>
      <w:r>
        <w:rPr>
          <w:rFonts w:ascii="仿宋_GB2312" w:hAnsi="仿宋" w:cs="仿宋"/>
        </w:rPr>
        <w:t>+</w:t>
      </w:r>
      <w:r>
        <w:rPr>
          <w:rFonts w:hint="eastAsia" w:ascii="仿宋_GB2312" w:hAnsi="仿宋" w:cs="仿宋"/>
        </w:rPr>
        <w:t>袋式除尘器</w:t>
      </w:r>
      <w:r>
        <w:rPr>
          <w:rFonts w:ascii="仿宋_GB2312" w:hAnsi="仿宋" w:cs="仿宋"/>
        </w:rPr>
        <w:t>+15</w:t>
      </w:r>
      <w:r>
        <w:rPr>
          <w:rFonts w:hint="eastAsia" w:ascii="仿宋_GB2312" w:hAnsi="仿宋" w:cs="仿宋"/>
        </w:rPr>
        <w:t>米高排气筒”处理及排放，炭基生物有机肥生产线的含尘废气经“集尘罩</w:t>
      </w:r>
      <w:r>
        <w:rPr>
          <w:rFonts w:ascii="仿宋_GB2312" w:hAnsi="仿宋" w:cs="仿宋"/>
        </w:rPr>
        <w:t>+</w:t>
      </w:r>
      <w:r>
        <w:rPr>
          <w:rFonts w:hint="eastAsia" w:ascii="仿宋_GB2312" w:hAnsi="仿宋" w:cs="仿宋"/>
        </w:rPr>
        <w:t>旋风除尘器</w:t>
      </w:r>
      <w:r>
        <w:rPr>
          <w:rFonts w:ascii="仿宋_GB2312" w:hAnsi="仿宋" w:cs="仿宋"/>
        </w:rPr>
        <w:t>+</w:t>
      </w:r>
      <w:r>
        <w:rPr>
          <w:rFonts w:hint="eastAsia" w:ascii="仿宋_GB2312" w:hAnsi="仿宋" w:cs="仿宋"/>
        </w:rPr>
        <w:t>脉冲袋式除尘器</w:t>
      </w:r>
      <w:r>
        <w:rPr>
          <w:rFonts w:ascii="仿宋_GB2312" w:hAnsi="仿宋" w:cs="仿宋"/>
        </w:rPr>
        <w:t>+15</w:t>
      </w:r>
      <w:r>
        <w:rPr>
          <w:rFonts w:hint="eastAsia" w:ascii="仿宋_GB2312" w:hAnsi="仿宋" w:cs="仿宋"/>
        </w:rPr>
        <w:t>米高排气筒”处理及排放，废气中颗粒物排放须满足《大气污染物综合排放标准》（</w:t>
      </w:r>
      <w:r>
        <w:rPr>
          <w:rFonts w:ascii="仿宋_GB2312" w:hAnsi="仿宋" w:cs="仿宋"/>
        </w:rPr>
        <w:t>GB16297-1996</w:t>
      </w:r>
      <w:r>
        <w:rPr>
          <w:rFonts w:hint="eastAsia" w:ascii="仿宋_GB2312" w:hAnsi="仿宋" w:cs="仿宋"/>
        </w:rPr>
        <w:t>）表</w:t>
      </w:r>
      <w:r>
        <w:rPr>
          <w:rFonts w:ascii="仿宋_GB2312" w:hAnsi="仿宋" w:cs="仿宋"/>
        </w:rPr>
        <w:t>2</w:t>
      </w:r>
      <w:r>
        <w:rPr>
          <w:rFonts w:hint="eastAsia" w:ascii="仿宋_GB2312" w:hAnsi="仿宋" w:cs="仿宋"/>
        </w:rPr>
        <w:t>新污染源大气污染物排放限值要求</w:t>
      </w:r>
      <w:r>
        <w:rPr>
          <w:rFonts w:hint="eastAsia" w:ascii="仿宋_GB2312" w:hAnsi="仿宋" w:cs="仿宋"/>
          <w:color w:val="000000"/>
        </w:rPr>
        <w:t>；</w:t>
      </w:r>
      <w:r>
        <w:rPr>
          <w:rFonts w:hint="eastAsia" w:ascii="仿宋_GB2312" w:hAnsi="宋体"/>
          <w:color w:val="000000"/>
        </w:rPr>
        <w:t>炭</w:t>
      </w:r>
      <w:r>
        <w:rPr>
          <w:rFonts w:ascii="仿宋_GB2312" w:hAnsi="宋体"/>
          <w:color w:val="000000"/>
        </w:rPr>
        <w:t>-</w:t>
      </w:r>
      <w:r>
        <w:rPr>
          <w:rFonts w:hint="eastAsia" w:ascii="仿宋_GB2312" w:hAnsi="宋体"/>
          <w:color w:val="000000"/>
        </w:rPr>
        <w:t>气</w:t>
      </w:r>
      <w:r>
        <w:rPr>
          <w:rFonts w:ascii="仿宋_GB2312" w:hAnsi="宋体"/>
          <w:color w:val="000000"/>
        </w:rPr>
        <w:t>-</w:t>
      </w:r>
      <w:r>
        <w:rPr>
          <w:rFonts w:hint="eastAsia" w:ascii="仿宋_GB2312" w:hAnsi="宋体"/>
          <w:color w:val="000000"/>
        </w:rPr>
        <w:t>电联产生产线燃气发电机组烟气由风机引入袋式除尘器处理后，通过一根</w:t>
      </w:r>
      <w:r>
        <w:rPr>
          <w:rFonts w:ascii="仿宋_GB2312" w:hAnsi="宋体"/>
          <w:color w:val="000000"/>
        </w:rPr>
        <w:t>15m</w:t>
      </w:r>
      <w:r>
        <w:rPr>
          <w:rFonts w:hint="eastAsia" w:ascii="仿宋_GB2312" w:hAnsi="宋体"/>
          <w:color w:val="000000"/>
        </w:rPr>
        <w:t>高排气筒排放，废气中颗粒物、</w:t>
      </w:r>
      <w:r>
        <w:rPr>
          <w:rFonts w:ascii="仿宋_GB2312" w:hAnsi="宋体"/>
          <w:color w:val="000000"/>
        </w:rPr>
        <w:t>SO</w:t>
      </w:r>
      <w:r>
        <w:rPr>
          <w:rFonts w:ascii="仿宋_GB2312" w:hAnsi="宋体"/>
          <w:color w:val="000000"/>
          <w:vertAlign w:val="subscript"/>
        </w:rPr>
        <w:t>2</w:t>
      </w:r>
      <w:r>
        <w:rPr>
          <w:rFonts w:hint="eastAsia" w:ascii="仿宋_GB2312" w:hAnsi="宋体"/>
          <w:color w:val="000000"/>
        </w:rPr>
        <w:t>、</w:t>
      </w:r>
      <w:r>
        <w:rPr>
          <w:rFonts w:ascii="仿宋_GB2312" w:hAnsi="宋体"/>
          <w:color w:val="000000"/>
        </w:rPr>
        <w:t>NO</w:t>
      </w:r>
      <w:r>
        <w:rPr>
          <w:rFonts w:ascii="仿宋_GB2312" w:hAnsi="宋体"/>
          <w:color w:val="000000"/>
          <w:vertAlign w:val="subscript"/>
        </w:rPr>
        <w:t>x</w:t>
      </w:r>
      <w:r>
        <w:rPr>
          <w:rFonts w:hint="eastAsia" w:ascii="仿宋_GB2312" w:hAnsi="宋体"/>
          <w:color w:val="000000"/>
        </w:rPr>
        <w:t>排放须满足《锅炉大气污染物排放标准》（</w:t>
      </w:r>
      <w:r>
        <w:rPr>
          <w:rFonts w:ascii="仿宋_GB2312" w:hAnsi="宋体"/>
          <w:color w:val="000000"/>
        </w:rPr>
        <w:t>GB13271-2014</w:t>
      </w:r>
      <w:r>
        <w:rPr>
          <w:rFonts w:hint="eastAsia" w:ascii="仿宋_GB2312" w:hAnsi="宋体"/>
          <w:color w:val="000000"/>
        </w:rPr>
        <w:t>）中表</w:t>
      </w:r>
      <w:r>
        <w:rPr>
          <w:rFonts w:ascii="仿宋_GB2312" w:hAnsi="宋体"/>
          <w:color w:val="000000"/>
        </w:rPr>
        <w:t>2</w:t>
      </w:r>
      <w:r>
        <w:rPr>
          <w:rFonts w:hint="eastAsia" w:ascii="仿宋_GB2312" w:hAnsi="宋体"/>
          <w:color w:val="000000"/>
        </w:rPr>
        <w:t>中燃气锅炉大气污染物排放浓度限值；食堂油烟采取油烟净化装置处理后，油烟排放满足《饮食业油烟排放标准（试行）》（</w:t>
      </w:r>
      <w:r>
        <w:rPr>
          <w:rFonts w:ascii="仿宋_GB2312" w:hAnsi="宋体"/>
          <w:color w:val="000000"/>
        </w:rPr>
        <w:t>GB18483-2001</w:t>
      </w:r>
      <w:r>
        <w:rPr>
          <w:rFonts w:hint="eastAsia" w:ascii="仿宋_GB2312" w:hAnsi="宋体"/>
          <w:color w:val="000000"/>
        </w:rPr>
        <w:t>）表</w:t>
      </w:r>
      <w:r>
        <w:rPr>
          <w:rFonts w:ascii="仿宋_GB2312" w:hAnsi="宋体"/>
          <w:color w:val="000000"/>
        </w:rPr>
        <w:t>2</w:t>
      </w:r>
      <w:r>
        <w:rPr>
          <w:rFonts w:hint="eastAsia" w:ascii="仿宋_GB2312" w:hAnsi="宋体"/>
          <w:color w:val="000000"/>
        </w:rPr>
        <w:t>标准限值要求。项目采取封闭投料口、卸料口及输送设备等措施防治无组织粉尘的逸散，厂界无组织颗粒物排放满足《大气污染物综合排放标准》（</w:t>
      </w:r>
      <w:r>
        <w:rPr>
          <w:rFonts w:ascii="仿宋_GB2312" w:hAnsi="宋体"/>
          <w:color w:val="000000"/>
        </w:rPr>
        <w:t>GB16297-1996</w:t>
      </w:r>
      <w:r>
        <w:rPr>
          <w:rFonts w:hint="eastAsia" w:ascii="仿宋_GB2312" w:hAnsi="宋体"/>
          <w:color w:val="000000"/>
        </w:rPr>
        <w:t>）表</w:t>
      </w:r>
      <w:r>
        <w:rPr>
          <w:rFonts w:ascii="仿宋_GB2312" w:hAnsi="宋体"/>
          <w:color w:val="000000"/>
        </w:rPr>
        <w:t>2</w:t>
      </w:r>
      <w:r>
        <w:rPr>
          <w:rFonts w:hint="eastAsia" w:ascii="仿宋_GB2312" w:hAnsi="宋体"/>
          <w:color w:val="000000"/>
        </w:rPr>
        <w:t>无组织排放监控浓度限值（颗粒物≤</w:t>
      </w:r>
      <w:r>
        <w:rPr>
          <w:rFonts w:ascii="仿宋_GB2312" w:hAnsi="宋体"/>
          <w:color w:val="000000"/>
        </w:rPr>
        <w:t>1.0mg/m</w:t>
      </w:r>
      <w:r>
        <w:rPr>
          <w:rFonts w:ascii="仿宋_GB2312" w:hAnsi="宋体"/>
          <w:color w:val="000000"/>
          <w:vertAlign w:val="superscript"/>
        </w:rPr>
        <w:t>3</w:t>
      </w:r>
      <w:r>
        <w:rPr>
          <w:rFonts w:hint="eastAsia" w:ascii="仿宋_GB2312" w:hAnsi="宋体"/>
          <w:color w:val="000000"/>
        </w:rPr>
        <w:t>）要求。</w:t>
      </w:r>
      <w:r>
        <w:rPr>
          <w:rFonts w:hint="eastAsia" w:ascii="仿宋_GB2312" w:hAnsi="仿宋_GB2312" w:cs="仿宋_GB2312"/>
          <w:kern w:val="0"/>
        </w:rPr>
        <w:t>该项目排放总量控制指标为：</w:t>
      </w:r>
      <w:r>
        <w:rPr>
          <w:rFonts w:hint="eastAsia" w:ascii="仿宋_GB2312" w:hAnsi="仿宋" w:eastAsia="仿宋_GB2312"/>
          <w:color w:val="000000"/>
        </w:rPr>
        <w:t>SO2</w:t>
      </w:r>
      <w:r>
        <w:rPr>
          <w:rFonts w:hint="eastAsia" w:ascii="仿宋_GB2312" w:hAnsi="仿宋"/>
          <w:color w:val="000000"/>
          <w:lang w:val="en-US" w:eastAsia="zh-CN"/>
        </w:rPr>
        <w:t>为</w:t>
      </w:r>
      <w:r>
        <w:rPr>
          <w:rFonts w:hint="eastAsia" w:ascii="仿宋_GB2312" w:hAnsi="仿宋" w:eastAsia="仿宋_GB2312"/>
          <w:color w:val="000000"/>
        </w:rPr>
        <w:t>4.79吨/年、NOx</w:t>
      </w:r>
      <w:r>
        <w:rPr>
          <w:rFonts w:hint="eastAsia" w:ascii="仿宋_GB2312" w:hAnsi="仿宋"/>
          <w:color w:val="000000"/>
          <w:lang w:val="en-US" w:eastAsia="zh-CN"/>
        </w:rPr>
        <w:t>为</w:t>
      </w:r>
      <w:r>
        <w:rPr>
          <w:rFonts w:hint="eastAsia" w:ascii="仿宋_GB2312" w:hAnsi="仿宋" w:eastAsia="仿宋_GB2312"/>
          <w:color w:val="000000"/>
        </w:rPr>
        <w:t>17.82吨/年</w:t>
      </w:r>
      <w:r>
        <w:rPr>
          <w:rFonts w:hint="eastAsia" w:ascii="仿宋_GB2312" w:hAnsi="仿宋"/>
          <w:color w:val="000000"/>
          <w:lang w:eastAsia="zh-CN"/>
        </w:rPr>
        <w:t>、</w:t>
      </w:r>
      <w:r>
        <w:rPr>
          <w:rFonts w:hint="eastAsia" w:ascii="仿宋_GB2312" w:hAnsi="仿宋" w:eastAsia="仿宋_GB2312"/>
          <w:color w:val="000000"/>
        </w:rPr>
        <w:t>颗粒物为0.05吨/年</w:t>
      </w:r>
      <w:r>
        <w:rPr>
          <w:rFonts w:hint="eastAsia" w:ascii="仿宋_GB2312" w:hAnsi="仿宋"/>
          <w:color w:val="000000"/>
          <w:lang w:eastAsia="zh-CN"/>
        </w:rPr>
        <w:t>。</w:t>
      </w:r>
    </w:p>
    <w:p>
      <w:pPr>
        <w:adjustRightInd w:val="0"/>
        <w:snapToGrid w:val="0"/>
        <w:spacing w:line="560" w:lineRule="exact"/>
        <w:ind w:firstLine="610" w:firstLineChars="200"/>
        <w:rPr>
          <w:rFonts w:ascii="仿宋_GB2312" w:hAnsi="宋体"/>
          <w:color w:val="000000"/>
        </w:rPr>
      </w:pPr>
      <w:r>
        <w:rPr>
          <w:rFonts w:hint="eastAsia" w:ascii="仿宋_GB2312" w:hAnsi="宋体"/>
          <w:color w:val="000000"/>
        </w:rPr>
        <w:t>（三）严格落实水污染防治措施。该项目运营期废水主要为生活污水</w:t>
      </w:r>
      <w:r>
        <w:rPr>
          <w:rFonts w:hint="eastAsia" w:ascii="仿宋_GB2312"/>
        </w:rPr>
        <w:t>。生活污水排放满足《污水综合排放标准》（</w:t>
      </w:r>
      <w:r>
        <w:rPr>
          <w:rFonts w:ascii="仿宋_GB2312"/>
        </w:rPr>
        <w:t>GB8979-1996</w:t>
      </w:r>
      <w:r>
        <w:rPr>
          <w:rFonts w:hint="eastAsia" w:ascii="仿宋_GB2312"/>
        </w:rPr>
        <w:t>）中表</w:t>
      </w:r>
      <w:r>
        <w:rPr>
          <w:rFonts w:ascii="仿宋_GB2312"/>
        </w:rPr>
        <w:t>4</w:t>
      </w:r>
      <w:r>
        <w:rPr>
          <w:rFonts w:hint="eastAsia" w:ascii="仿宋_GB2312"/>
        </w:rPr>
        <w:t>三级排放标准后，经三团城镇排水管网排入三团污水处理厂。</w:t>
      </w:r>
    </w:p>
    <w:p>
      <w:pPr>
        <w:pStyle w:val="6"/>
        <w:adjustRightInd w:val="0"/>
        <w:snapToGrid w:val="0"/>
        <w:spacing w:line="560" w:lineRule="exact"/>
        <w:ind w:firstLine="610" w:firstLineChars="200"/>
        <w:rPr>
          <w:rFonts w:hint="eastAsia" w:ascii="仿宋_GB2312" w:hAnsi="仿宋_GB2312" w:eastAsia="仿宋_GB2312" w:cs="仿宋_GB2312"/>
          <w:sz w:val="32"/>
          <w:szCs w:val="32"/>
        </w:rPr>
      </w:pPr>
      <w:r>
        <w:rPr>
          <w:rFonts w:hint="eastAsia" w:ascii="仿宋_GB2312" w:hAnsi="Times New Roman"/>
          <w:sz w:val="32"/>
          <w:szCs w:val="32"/>
        </w:rPr>
        <w:t>（四）严格落实噪音污染防治措施。该项目噪声主要为粉碎机、筛分机、压块成型机、空压机、离心水泵等设备运行噪声。通过对</w:t>
      </w:r>
      <w:r>
        <w:rPr>
          <w:rFonts w:hint="eastAsia" w:ascii="仿宋_GB2312" w:hAnsi="仿宋_GB2312" w:eastAsia="仿宋_GB2312" w:cs="仿宋_GB2312"/>
          <w:sz w:val="32"/>
          <w:szCs w:val="32"/>
        </w:rPr>
        <w:t>设备采取消声减振处理、加强设备定期维护保养、厂区合理布置等措施，确保厂界噪声满足《工业企业厂界环境噪声排放标准》（GB12348-2008）3类标准要求。</w:t>
      </w:r>
    </w:p>
    <w:p>
      <w:pPr>
        <w:pStyle w:val="3"/>
        <w:keepNext w:val="0"/>
        <w:keepLines w:val="0"/>
        <w:pageBreakBefore w:val="0"/>
        <w:kinsoku/>
        <w:wordWrap/>
        <w:overflowPunct/>
        <w:autoSpaceDE/>
        <w:autoSpaceDN/>
        <w:bidi w:val="0"/>
        <w:spacing w:line="56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（五）严格落实固体废物污染防治措施</w:t>
      </w:r>
      <w:bookmarkStart w:id="0" w:name="_GoBack"/>
      <w:bookmarkEnd w:id="0"/>
      <w:r>
        <w:rPr>
          <w:rFonts w:hint="eastAsia" w:ascii="仿宋_GB2312" w:hAnsi="仿宋_GB2312" w:eastAsia="仿宋_GB2312" w:cs="仿宋_GB2312"/>
          <w:sz w:val="32"/>
          <w:szCs w:val="32"/>
        </w:rPr>
        <w:t>。除尘灰经集中、密闭、袋装收集后暂存于厂内的原辅料贮存区，之后用作原料返回生产线全部综合利用；废弃包装袋集中收集后用于盛装除尘灰。废润滑油、废润滑油桶等危险废物分类分区暂存于厂内的危险废物暂存间，定期委托具有资质的单位转移处置。危险废物暂存间的设置及设计必须符合《危险废物贮存污染控制标准》（GB18597-2001）及2013年修改单中的相关标准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生活垃圾集中收集后定期由三团环卫部门运至三团垃圾场卫生填埋。</w:t>
      </w:r>
    </w:p>
    <w:p>
      <w:pPr>
        <w:adjustRightInd w:val="0"/>
        <w:snapToGrid w:val="0"/>
        <w:spacing w:line="560" w:lineRule="exact"/>
        <w:ind w:firstLine="610" w:firstLineChars="200"/>
        <w:textAlignment w:val="baseline"/>
        <w:rPr>
          <w:rFonts w:ascii="仿宋_GB2312"/>
        </w:rPr>
      </w:pPr>
      <w:r>
        <w:rPr>
          <w:rFonts w:hint="eastAsia" w:ascii="仿宋_GB2312"/>
        </w:rPr>
        <w:t>（六）该项目运营期应加强管理，加强设备运行维护。加强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r>
        <w:rPr>
          <w:rFonts w:hint="eastAsia" w:ascii="仿宋_GB2312" w:hAnsi="仿宋" w:cs="仿宋"/>
        </w:rPr>
        <w:t>。</w:t>
      </w:r>
    </w:p>
    <w:p>
      <w:pPr>
        <w:adjustRightInd w:val="0"/>
        <w:snapToGrid w:val="0"/>
        <w:spacing w:line="560" w:lineRule="exact"/>
        <w:ind w:firstLine="610" w:firstLineChars="200"/>
        <w:rPr>
          <w:rFonts w:ascii="仿宋_GB2312"/>
        </w:rPr>
      </w:pPr>
      <w:r>
        <w:rPr>
          <w:rFonts w:hint="eastAsia" w:ascii="仿宋_GB2312"/>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rPr>
        <w:t>5</w:t>
      </w:r>
      <w:r>
        <w:rPr>
          <w:rFonts w:hint="eastAsia" w:ascii="仿宋_GB2312"/>
        </w:rPr>
        <w:t>个工作日内在相关网站进行公开，公示期限不得少于</w:t>
      </w:r>
      <w:r>
        <w:rPr>
          <w:rFonts w:ascii="仿宋_GB2312"/>
        </w:rPr>
        <w:t>20</w:t>
      </w:r>
      <w:r>
        <w:rPr>
          <w:rFonts w:hint="eastAsia" w:ascii="仿宋_GB2312"/>
        </w:rPr>
        <w:t>个工作日，并向我局报送相关信息；验收报告公示期满后</w:t>
      </w:r>
      <w:r>
        <w:rPr>
          <w:rFonts w:ascii="仿宋_GB2312"/>
        </w:rPr>
        <w:t>5</w:t>
      </w:r>
      <w:r>
        <w:rPr>
          <w:rFonts w:hint="eastAsia" w:ascii="仿宋_GB2312"/>
        </w:rPr>
        <w:t>个工作日内，建设单位应当登录“全国建设项目竣工环境保护验收信息平台”（网址为</w:t>
      </w:r>
      <w:r>
        <w:rPr>
          <w:rFonts w:ascii="仿宋_GB2312"/>
        </w:rPr>
        <w:t>http://114.251.10.205</w:t>
      </w:r>
      <w:r>
        <w:rPr>
          <w:rFonts w:hint="eastAsia" w:ascii="仿宋_GB2312"/>
        </w:rPr>
        <w:t>），填报建设项目基本信息、环境保护设施验收情况等相关信息。</w:t>
      </w:r>
    </w:p>
    <w:p>
      <w:pPr>
        <w:adjustRightInd w:val="0"/>
        <w:snapToGrid w:val="0"/>
        <w:spacing w:line="560" w:lineRule="exact"/>
        <w:ind w:firstLine="630"/>
        <w:rPr>
          <w:rFonts w:ascii="仿宋_GB2312"/>
        </w:rPr>
      </w:pPr>
      <w:r>
        <w:rPr>
          <w:rFonts w:hint="eastAsia" w:ascii="仿宋_GB2312"/>
        </w:rPr>
        <w:t>五、你单位须严格按照《排污许可证管理暂行规定》要求，在投入生产或使用并产生实际排污行为之前申请领取排污许可证或进行排污登记。</w:t>
      </w:r>
    </w:p>
    <w:p>
      <w:pPr>
        <w:adjustRightInd w:val="0"/>
        <w:snapToGrid w:val="0"/>
        <w:spacing w:line="560" w:lineRule="exact"/>
        <w:ind w:firstLine="610" w:firstLineChars="200"/>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w:t>
      </w:r>
      <w:r>
        <w:rPr>
          <w:rFonts w:ascii="仿宋_GB2312"/>
        </w:rPr>
        <w:t>5</w:t>
      </w:r>
      <w:r>
        <w:rPr>
          <w:rFonts w:hint="eastAsia" w:ascii="仿宋_GB2312"/>
        </w:rPr>
        <w:t>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10" w:firstLineChars="200"/>
        <w:rPr>
          <w:rFonts w:ascii="仿宋_GB2312"/>
          <w:kern w:val="0"/>
        </w:rPr>
      </w:pPr>
      <w:r>
        <w:rPr>
          <w:rFonts w:hint="eastAsia" w:ascii="仿宋_GB2312"/>
        </w:rPr>
        <w:t>七、</w:t>
      </w:r>
      <w:r>
        <w:rPr>
          <w:rFonts w:hint="eastAsia" w:ascii="仿宋_GB2312" w:hAnsi="Helvetica" w:cs="Helvetica"/>
        </w:rPr>
        <w:t>三团</w:t>
      </w:r>
      <w:r>
        <w:rPr>
          <w:rFonts w:hint="eastAsia" w:ascii="仿宋_GB2312" w:hAnsi="仿宋_GB2312" w:cs="仿宋_GB2312"/>
        </w:rPr>
        <w:t>按照《关于印发</w:t>
      </w:r>
      <w:r>
        <w:rPr>
          <w:rFonts w:ascii="仿宋_GB2312" w:hAnsi="仿宋_GB2312" w:cs="仿宋_GB2312"/>
        </w:rPr>
        <w:t>&lt;</w:t>
      </w:r>
      <w:r>
        <w:rPr>
          <w:rFonts w:hint="eastAsia" w:ascii="仿宋_GB2312" w:hAnsi="仿宋_GB2312" w:cs="仿宋_GB2312"/>
        </w:rPr>
        <w:t>第一师阿拉尔市生态环境保护工作职责暂行规定（试行）</w:t>
      </w:r>
      <w:r>
        <w:rPr>
          <w:rFonts w:ascii="仿宋_GB2312" w:hAnsi="仿宋_GB2312" w:cs="仿宋_GB2312"/>
        </w:rPr>
        <w:t>&gt;</w:t>
      </w:r>
      <w:r>
        <w:rPr>
          <w:rFonts w:hint="eastAsia" w:ascii="仿宋_GB2312" w:hAnsi="仿宋_GB2312" w:cs="仿宋_GB2312"/>
        </w:rPr>
        <w:t>的通知》（师市环委办发〔</w:t>
      </w:r>
      <w:r>
        <w:rPr>
          <w:rFonts w:ascii="仿宋_GB2312" w:hAnsi="仿宋_GB2312" w:cs="仿宋_GB2312"/>
        </w:rPr>
        <w:t>2020</w:t>
      </w: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号）要求</w:t>
      </w:r>
      <w:r>
        <w:rPr>
          <w:rFonts w:hint="eastAsia" w:ascii="仿宋_GB2312" w:hAnsi="仿宋_GB2312"/>
        </w:rPr>
        <w:t>，做好该项目环境监管</w:t>
      </w:r>
      <w:r>
        <w:rPr>
          <w:rFonts w:hint="eastAsia" w:ascii="仿宋_GB2312"/>
        </w:rPr>
        <w:t>工作，师市生态环境综合行政执法支队做好该项目的抽查日常监督管理工作。</w:t>
      </w:r>
    </w:p>
    <w:p>
      <w:pPr>
        <w:pStyle w:val="4"/>
        <w:spacing w:after="0" w:line="560" w:lineRule="exact"/>
        <w:rPr>
          <w:rFonts w:ascii="仿宋_GB2312"/>
        </w:rPr>
      </w:pPr>
    </w:p>
    <w:p>
      <w:pPr>
        <w:pStyle w:val="4"/>
        <w:spacing w:after="0" w:line="560" w:lineRule="exact"/>
        <w:rPr>
          <w:rFonts w:ascii="仿宋_GB2312"/>
        </w:rPr>
      </w:pPr>
    </w:p>
    <w:p>
      <w:pPr>
        <w:adjustRightInd w:val="0"/>
        <w:snapToGrid w:val="0"/>
        <w:spacing w:line="560" w:lineRule="exact"/>
        <w:ind w:firstLine="4743" w:firstLineChars="1555"/>
        <w:rPr>
          <w:rFonts w:ascii="仿宋_GB2312"/>
          <w:kern w:val="0"/>
        </w:rPr>
      </w:pPr>
      <w:r>
        <w:rPr>
          <w:rFonts w:hint="eastAsia" w:ascii="仿宋_GB2312" w:cs="仿宋_GB2312"/>
          <w:kern w:val="0"/>
        </w:rPr>
        <w:t>第一师阿拉尔市生态环境局</w:t>
      </w:r>
    </w:p>
    <w:p>
      <w:r>
        <w:rPr>
          <w:rFonts w:ascii="仿宋_GB2312"/>
          <w:kern w:val="0"/>
        </w:rPr>
        <w:t xml:space="preserve">                                    2021</w:t>
      </w:r>
      <w:r>
        <w:rPr>
          <w:rFonts w:hint="eastAsia" w:ascii="仿宋_GB2312"/>
          <w:kern w:val="0"/>
        </w:rPr>
        <w:t>年</w:t>
      </w:r>
      <w:r>
        <w:rPr>
          <w:rFonts w:hint="eastAsia" w:ascii="仿宋_GB2312"/>
          <w:kern w:val="0"/>
          <w:lang w:val="en-US" w:eastAsia="zh-CN"/>
        </w:rPr>
        <w:t>8</w:t>
      </w:r>
      <w:r>
        <w:rPr>
          <w:rFonts w:hint="eastAsia" w:ascii="仿宋_GB2312" w:cs="仿宋_GB2312"/>
          <w:kern w:val="0"/>
        </w:rPr>
        <w:t>月</w:t>
      </w:r>
      <w:r>
        <w:rPr>
          <w:rFonts w:hint="eastAsia" w:ascii="仿宋_GB2312"/>
          <w:kern w:val="0"/>
          <w:lang w:val="en-US" w:eastAsia="zh-CN"/>
        </w:rPr>
        <w:t>9</w:t>
      </w:r>
      <w:r>
        <w:rPr>
          <w:rFonts w:hint="eastAsia" w:ascii="仿宋_GB2312" w:cs="仿宋_GB2312"/>
          <w:kern w:val="0"/>
        </w:rPr>
        <w:t>日</w:t>
      </w:r>
    </w:p>
    <w:p>
      <w:pPr>
        <w:adjustRightInd w:val="0"/>
        <w:snapToGrid w:val="0"/>
        <w:spacing w:line="560" w:lineRule="exact"/>
        <w:ind w:firstLine="4121" w:firstLineChars="1351"/>
        <w:rPr>
          <w:rFonts w:ascii="仿宋_GB2312"/>
          <w:kern w:val="0"/>
        </w:rPr>
      </w:pPr>
    </w:p>
    <w:p>
      <w:pPr>
        <w:adjustRightInd w:val="0"/>
        <w:snapToGrid w:val="0"/>
        <w:spacing w:line="560" w:lineRule="exact"/>
        <w:ind w:firstLine="4121" w:firstLineChars="1351"/>
        <w:rPr>
          <w:rFonts w:ascii="仿宋_GB2312"/>
          <w:kern w:val="0"/>
        </w:rPr>
      </w:pPr>
    </w:p>
    <w:p>
      <w:pPr>
        <w:adjustRightInd w:val="0"/>
        <w:snapToGrid w:val="0"/>
        <w:spacing w:line="560" w:lineRule="exact"/>
        <w:ind w:firstLine="4121" w:firstLineChars="1351"/>
        <w:rPr>
          <w:rFonts w:ascii="仿宋_GB2312"/>
          <w:kern w:val="0"/>
        </w:rPr>
      </w:pPr>
    </w:p>
    <w:p>
      <w:pPr>
        <w:adjustRightInd w:val="0"/>
        <w:snapToGrid w:val="0"/>
        <w:spacing w:line="560" w:lineRule="exact"/>
        <w:ind w:firstLine="4121" w:firstLineChars="1351"/>
        <w:rPr>
          <w:rFonts w:ascii="仿宋_GB2312"/>
          <w:kern w:val="0"/>
        </w:rPr>
      </w:pPr>
    </w:p>
    <w:p>
      <w:pPr>
        <w:adjustRightInd w:val="0"/>
        <w:snapToGrid w:val="0"/>
        <w:spacing w:line="560" w:lineRule="exact"/>
        <w:ind w:firstLine="4121" w:firstLineChars="1351"/>
        <w:rPr>
          <w:rFonts w:ascii="仿宋_GB2312"/>
          <w:kern w:val="0"/>
        </w:rPr>
      </w:pPr>
    </w:p>
    <w:p>
      <w:pPr>
        <w:adjustRightInd w:val="0"/>
        <w:snapToGrid w:val="0"/>
        <w:spacing w:line="560" w:lineRule="exact"/>
        <w:ind w:firstLine="4121" w:firstLineChars="1351"/>
        <w:rPr>
          <w:rFonts w:ascii="仿宋_GB2312"/>
          <w:kern w:val="0"/>
        </w:rPr>
      </w:pPr>
    </w:p>
    <w:p>
      <w:pPr>
        <w:adjustRightInd w:val="0"/>
        <w:snapToGrid w:val="0"/>
        <w:spacing w:line="560" w:lineRule="exact"/>
        <w:ind w:firstLine="4121" w:firstLineChars="1351"/>
        <w:rPr>
          <w:rFonts w:ascii="仿宋_GB2312"/>
          <w:kern w:val="0"/>
        </w:rPr>
      </w:pPr>
    </w:p>
    <w:p>
      <w:pPr>
        <w:adjustRightInd w:val="0"/>
        <w:snapToGrid w:val="0"/>
        <w:spacing w:line="560" w:lineRule="exact"/>
        <w:ind w:firstLine="4121" w:firstLineChars="1351"/>
        <w:rPr>
          <w:rFonts w:ascii="仿宋_GB2312"/>
          <w:kern w:val="0"/>
        </w:rPr>
      </w:pPr>
    </w:p>
    <w:p>
      <w:pPr>
        <w:adjustRightInd w:val="0"/>
        <w:snapToGrid w:val="0"/>
        <w:spacing w:line="560" w:lineRule="exact"/>
        <w:ind w:firstLine="4121" w:firstLineChars="1351"/>
        <w:rPr>
          <w:rFonts w:ascii="仿宋_GB2312"/>
          <w:kern w:val="0"/>
        </w:rPr>
      </w:pPr>
    </w:p>
    <w:p>
      <w:pPr>
        <w:adjustRightInd w:val="0"/>
        <w:snapToGrid w:val="0"/>
        <w:spacing w:line="560" w:lineRule="exact"/>
        <w:ind w:firstLine="4121" w:firstLineChars="1351"/>
        <w:rPr>
          <w:rFonts w:ascii="仿宋_GB2312"/>
          <w:kern w:val="0"/>
        </w:rPr>
      </w:pPr>
    </w:p>
    <w:p>
      <w:pPr>
        <w:pStyle w:val="2"/>
      </w:pPr>
    </w:p>
    <w:p>
      <w:pPr>
        <w:adjustRightInd w:val="0"/>
        <w:snapToGrid w:val="0"/>
        <w:spacing w:line="560" w:lineRule="exact"/>
        <w:ind w:firstLine="4121" w:firstLineChars="1351"/>
        <w:rPr>
          <w:rFonts w:ascii="仿宋_GB2312"/>
          <w:kern w:val="0"/>
        </w:rPr>
      </w:pPr>
    </w:p>
    <w:p>
      <w:pPr>
        <w:adjustRightInd w:val="0"/>
        <w:snapToGrid w:val="0"/>
        <w:spacing w:line="560" w:lineRule="exact"/>
        <w:ind w:right="608"/>
        <w:rPr>
          <w:rFonts w:ascii="仿宋_GB2312"/>
          <w:kern w:val="0"/>
        </w:rPr>
      </w:pPr>
    </w:p>
    <w:p>
      <w:pPr>
        <w:pStyle w:val="2"/>
      </w:pPr>
    </w:p>
    <w:p/>
    <w:p>
      <w:pPr>
        <w:pStyle w:val="2"/>
      </w:pPr>
    </w:p>
    <w:p/>
    <w:p>
      <w:pPr>
        <w:pStyle w:val="2"/>
      </w:pPr>
    </w:p>
    <w:p>
      <w:pPr>
        <w:pStyle w:val="9"/>
        <w:ind w:left="609" w:firstLine="0" w:firstLineChars="0"/>
      </w:pPr>
    </w:p>
    <w:p>
      <w:pPr>
        <w:pStyle w:val="9"/>
        <w:ind w:left="609" w:firstLine="0" w:firstLineChars="0"/>
      </w:pPr>
    </w:p>
    <w:p>
      <w:pPr>
        <w:pStyle w:val="9"/>
        <w:ind w:left="0" w:leftChars="0" w:firstLine="0" w:firstLineChars="0"/>
      </w:pPr>
    </w:p>
    <w:p>
      <w:pPr>
        <w:topLinePunct/>
        <w:adjustRightInd w:val="0"/>
        <w:snapToGrid w:val="0"/>
        <w:spacing w:line="520" w:lineRule="exact"/>
        <w:rPr>
          <w:rFonts w:ascii="仿宋_GB2312" w:cs="仿宋_GB2312"/>
          <w:spacing w:val="-3"/>
          <w:sz w:val="28"/>
          <w:szCs w:val="28"/>
        </w:rPr>
      </w:pPr>
      <w:r>
        <w:pict>
          <v:line id="_x0000_s1028" o:spid="_x0000_s1028" o:spt="20" style="position:absolute;left:0pt;margin-left:-2.3pt;margin-top:0.3pt;height:0pt;width:456.9pt;z-index:251660288;mso-width-relative:page;mso-height-relative:page;" coordsize="21600,21600">
            <v:path arrowok="t"/>
            <v:fill focussize="0,0"/>
            <v:stroke weight="1.5pt"/>
            <v:imagedata o:title=""/>
            <o:lock v:ext="edit"/>
          </v:line>
        </w:pict>
      </w:r>
      <w:r>
        <w:rPr>
          <w:rFonts w:hint="eastAsia" w:ascii="仿宋_GB2312" w:hAnsi="仿宋_GB2312" w:cs="仿宋_GB2312"/>
          <w:spacing w:val="-3"/>
          <w:sz w:val="28"/>
          <w:szCs w:val="28"/>
        </w:rPr>
        <w:t>抄送：师市相关领导，发改委、自然资源和规划局、三团、生态环境保护综合行政执法支队、</w:t>
      </w:r>
      <w:r>
        <w:rPr>
          <w:rFonts w:hint="eastAsia"/>
          <w:spacing w:val="-3"/>
          <w:sz w:val="28"/>
          <w:szCs w:val="28"/>
        </w:rPr>
        <w:t>乌鲁木齐天泓润宇工程咨询有限公司</w:t>
      </w:r>
      <w:r>
        <w:rPr>
          <w:rFonts w:hint="eastAsia" w:ascii="仿宋_GB2312" w:hAnsi="仿宋_GB2312" w:cs="仿宋_GB2312"/>
          <w:spacing w:val="-3"/>
          <w:sz w:val="28"/>
          <w:szCs w:val="28"/>
        </w:rPr>
        <w:t>。</w:t>
      </w:r>
    </w:p>
    <w:p>
      <w:pPr>
        <w:topLinePunct/>
        <w:adjustRightInd w:val="0"/>
        <w:snapToGrid w:val="0"/>
        <w:spacing w:line="520" w:lineRule="exact"/>
      </w:pPr>
      <w:r>
        <w:pict>
          <v:line id="_x0000_s1029" o:spid="_x0000_s1029" o:spt="20" style="position:absolute;left:0pt;margin-left:-3.75pt;margin-top:29.55pt;height:0pt;width:456.9pt;z-index:251661312;mso-width-relative:page;mso-height-relative:page;" coordsize="21600,21600">
            <v:path arrowok="t"/>
            <v:fill focussize="0,0"/>
            <v:stroke weight="1.5pt"/>
            <v:imagedata o:title=""/>
            <o:lock v:ext="edit"/>
          </v:line>
        </w:pict>
      </w:r>
      <w:r>
        <w:pict>
          <v:line id="_x0000_s1030" o:spid="_x0000_s1030" o:spt="20" style="position:absolute;left:0pt;margin-left:-3.55pt;margin-top:2.05pt;height:0pt;width:456.9pt;z-index:251662336;mso-width-relative:page;mso-height-relative:page;" coordsize="21600,21600">
            <v:path arrowok="t"/>
            <v:fill focussize="0,0"/>
            <v:stroke/>
            <v:imagedata o:title=""/>
            <o:lock v:ext="edit"/>
          </v:line>
        </w:pict>
      </w:r>
      <w:r>
        <w:rPr>
          <w:rFonts w:hint="eastAsia"/>
          <w:sz w:val="28"/>
          <w:szCs w:val="28"/>
        </w:rPr>
        <w:t>第一师阿拉尔市生态环境局</w:t>
      </w:r>
      <w:r>
        <w:rPr>
          <w:sz w:val="28"/>
          <w:szCs w:val="28"/>
        </w:rPr>
        <w:t xml:space="preserve">                        2021</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9</w:t>
      </w:r>
      <w:r>
        <w:rPr>
          <w:rFonts w:hint="eastAsia"/>
          <w:sz w:val="28"/>
          <w:szCs w:val="28"/>
        </w:rPr>
        <w:t>日印发</w:t>
      </w:r>
    </w:p>
    <w:sectPr>
      <w:headerReference r:id="rId3" w:type="default"/>
      <w:footerReference r:id="rId4" w:type="default"/>
      <w:footerReference r:id="rId5" w:type="even"/>
      <w:pgSz w:w="11906" w:h="16838"/>
      <w:pgMar w:top="2098" w:right="1474" w:bottom="1984" w:left="1587"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仿宋_GB2312"/>
        <w:sz w:val="28"/>
        <w:szCs w:val="28"/>
      </w:rPr>
    </w:pPr>
    <w:r>
      <w:pict>
        <v:shape id="_x0000_s2049" o:spid="_x0000_s204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path/>
          <v:fill on="f" focussize="0,0"/>
          <v:stroke on="f" joinstyle="miter"/>
          <v:imagedata o:title=""/>
          <o:lock v:ext="edit"/>
          <v:textbox inset="0mm,0mm,0mm,0mm" style="mso-fit-shape-to-text:t;">
            <w:txbxContent>
              <w:p>
                <w:pPr>
                  <w:pStyle w:val="7"/>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2</w:t>
                </w:r>
                <w:r>
                  <w:rPr>
                    <w:rFonts w:ascii="仿宋_GB2312"/>
                    <w:sz w:val="28"/>
                    <w:szCs w:val="28"/>
                  </w:rPr>
                  <w:fldChar w:fldCharType="end"/>
                </w:r>
                <w:r>
                  <w:rPr>
                    <w:rFonts w:ascii="仿宋_GB2312"/>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仿宋_GB2312"/>
        <w:sz w:val="28"/>
        <w:szCs w:val="28"/>
      </w:rPr>
    </w:pPr>
    <w:r>
      <w:rPr>
        <w:rFonts w:ascii="仿宋_GB2312"/>
        <w:sz w:val="28"/>
        <w:szCs w:val="28"/>
      </w:rPr>
      <w:t xml:space="preserve">— </w:t>
    </w:r>
    <w:r>
      <w:rPr>
        <w:rStyle w:val="12"/>
        <w:rFonts w:ascii="仿宋_GB2312"/>
        <w:sz w:val="28"/>
        <w:szCs w:val="28"/>
      </w:rPr>
      <w:fldChar w:fldCharType="begin"/>
    </w:r>
    <w:r>
      <w:rPr>
        <w:rStyle w:val="12"/>
        <w:rFonts w:ascii="仿宋_GB2312"/>
        <w:sz w:val="28"/>
        <w:szCs w:val="28"/>
      </w:rPr>
      <w:instrText xml:space="preserve"> PAGE </w:instrText>
    </w:r>
    <w:r>
      <w:rPr>
        <w:rStyle w:val="12"/>
        <w:rFonts w:ascii="仿宋_GB2312"/>
        <w:sz w:val="28"/>
        <w:szCs w:val="28"/>
      </w:rPr>
      <w:fldChar w:fldCharType="separate"/>
    </w:r>
    <w:r>
      <w:rPr>
        <w:rStyle w:val="12"/>
        <w:rFonts w:ascii="仿宋_GB2312"/>
        <w:sz w:val="28"/>
        <w:szCs w:val="28"/>
      </w:rPr>
      <w:t>4</w:t>
    </w:r>
    <w:r>
      <w:rPr>
        <w:rStyle w:val="12"/>
        <w:rFonts w:ascii="仿宋_GB2312"/>
        <w:sz w:val="28"/>
        <w:szCs w:val="28"/>
      </w:rPr>
      <w:fldChar w:fldCharType="end"/>
    </w:r>
    <w:r>
      <w:rPr>
        <w:rFonts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4CD"/>
    <w:rsid w:val="00025129"/>
    <w:rsid w:val="000E325E"/>
    <w:rsid w:val="000E36E3"/>
    <w:rsid w:val="000F6540"/>
    <w:rsid w:val="001351AA"/>
    <w:rsid w:val="001431BE"/>
    <w:rsid w:val="00151BC5"/>
    <w:rsid w:val="001639FC"/>
    <w:rsid w:val="00171DAC"/>
    <w:rsid w:val="00172A27"/>
    <w:rsid w:val="00173C39"/>
    <w:rsid w:val="00182FEC"/>
    <w:rsid w:val="001A2A43"/>
    <w:rsid w:val="001C118C"/>
    <w:rsid w:val="001C7850"/>
    <w:rsid w:val="001E3B52"/>
    <w:rsid w:val="00227C51"/>
    <w:rsid w:val="00242BA0"/>
    <w:rsid w:val="00295BA8"/>
    <w:rsid w:val="002A3C15"/>
    <w:rsid w:val="002B19C8"/>
    <w:rsid w:val="002B6DD0"/>
    <w:rsid w:val="002F3867"/>
    <w:rsid w:val="002F5F6B"/>
    <w:rsid w:val="003023C4"/>
    <w:rsid w:val="00304D0B"/>
    <w:rsid w:val="003111A9"/>
    <w:rsid w:val="00344500"/>
    <w:rsid w:val="00362623"/>
    <w:rsid w:val="003A7228"/>
    <w:rsid w:val="003F3A9F"/>
    <w:rsid w:val="003F5ECF"/>
    <w:rsid w:val="003F754F"/>
    <w:rsid w:val="003F7F32"/>
    <w:rsid w:val="00414269"/>
    <w:rsid w:val="00437564"/>
    <w:rsid w:val="00467A46"/>
    <w:rsid w:val="004C21F7"/>
    <w:rsid w:val="004E59A2"/>
    <w:rsid w:val="005065C1"/>
    <w:rsid w:val="00521645"/>
    <w:rsid w:val="00552199"/>
    <w:rsid w:val="0056250B"/>
    <w:rsid w:val="0056471E"/>
    <w:rsid w:val="005658BF"/>
    <w:rsid w:val="00574966"/>
    <w:rsid w:val="005A0EF4"/>
    <w:rsid w:val="005B5904"/>
    <w:rsid w:val="005B7397"/>
    <w:rsid w:val="005C1023"/>
    <w:rsid w:val="005D4B5A"/>
    <w:rsid w:val="005E495F"/>
    <w:rsid w:val="005E71F3"/>
    <w:rsid w:val="00616CC0"/>
    <w:rsid w:val="00633A23"/>
    <w:rsid w:val="00635F1D"/>
    <w:rsid w:val="006403BB"/>
    <w:rsid w:val="00667317"/>
    <w:rsid w:val="006727ED"/>
    <w:rsid w:val="006C14B9"/>
    <w:rsid w:val="006D69B8"/>
    <w:rsid w:val="006D7837"/>
    <w:rsid w:val="00722814"/>
    <w:rsid w:val="00725EB1"/>
    <w:rsid w:val="007A536E"/>
    <w:rsid w:val="007B75B9"/>
    <w:rsid w:val="007C2643"/>
    <w:rsid w:val="007E7E36"/>
    <w:rsid w:val="007F26DF"/>
    <w:rsid w:val="00870BDC"/>
    <w:rsid w:val="008A0CD9"/>
    <w:rsid w:val="008A3DE4"/>
    <w:rsid w:val="008B3ABC"/>
    <w:rsid w:val="008B4592"/>
    <w:rsid w:val="008B53D6"/>
    <w:rsid w:val="008C4076"/>
    <w:rsid w:val="009451BE"/>
    <w:rsid w:val="00967F11"/>
    <w:rsid w:val="009717AE"/>
    <w:rsid w:val="009A6ADB"/>
    <w:rsid w:val="009C4D01"/>
    <w:rsid w:val="009D32CE"/>
    <w:rsid w:val="009D3FB3"/>
    <w:rsid w:val="00A022D0"/>
    <w:rsid w:val="00A10371"/>
    <w:rsid w:val="00A4697E"/>
    <w:rsid w:val="00A47725"/>
    <w:rsid w:val="00A657FC"/>
    <w:rsid w:val="00A77C79"/>
    <w:rsid w:val="00AA3603"/>
    <w:rsid w:val="00AB6EF5"/>
    <w:rsid w:val="00AC4A8C"/>
    <w:rsid w:val="00AE6472"/>
    <w:rsid w:val="00AF5850"/>
    <w:rsid w:val="00B016D8"/>
    <w:rsid w:val="00B124C4"/>
    <w:rsid w:val="00B62F40"/>
    <w:rsid w:val="00B8493D"/>
    <w:rsid w:val="00B932C8"/>
    <w:rsid w:val="00BA5CB4"/>
    <w:rsid w:val="00BB145C"/>
    <w:rsid w:val="00BC1FD2"/>
    <w:rsid w:val="00BD1D4D"/>
    <w:rsid w:val="00C21A9D"/>
    <w:rsid w:val="00C62C13"/>
    <w:rsid w:val="00C6330E"/>
    <w:rsid w:val="00C83EEA"/>
    <w:rsid w:val="00C965F6"/>
    <w:rsid w:val="00CA71CC"/>
    <w:rsid w:val="00CF24A0"/>
    <w:rsid w:val="00D033F3"/>
    <w:rsid w:val="00D3088C"/>
    <w:rsid w:val="00D34FA7"/>
    <w:rsid w:val="00D51444"/>
    <w:rsid w:val="00D62111"/>
    <w:rsid w:val="00D624A5"/>
    <w:rsid w:val="00D62772"/>
    <w:rsid w:val="00DC2A23"/>
    <w:rsid w:val="00DE4EA5"/>
    <w:rsid w:val="00E205D2"/>
    <w:rsid w:val="00E20F24"/>
    <w:rsid w:val="00E231D6"/>
    <w:rsid w:val="00E36172"/>
    <w:rsid w:val="00E9496E"/>
    <w:rsid w:val="00EC2B80"/>
    <w:rsid w:val="00EE1372"/>
    <w:rsid w:val="00EF36B4"/>
    <w:rsid w:val="00F2189F"/>
    <w:rsid w:val="00F3491A"/>
    <w:rsid w:val="00F35718"/>
    <w:rsid w:val="00F47EFE"/>
    <w:rsid w:val="00F64F83"/>
    <w:rsid w:val="00FB12D5"/>
    <w:rsid w:val="00FB3D4F"/>
    <w:rsid w:val="00FF1A9F"/>
    <w:rsid w:val="00FF658E"/>
    <w:rsid w:val="00FF75C2"/>
    <w:rsid w:val="02B04992"/>
    <w:rsid w:val="034755F0"/>
    <w:rsid w:val="03D12BCA"/>
    <w:rsid w:val="05266A20"/>
    <w:rsid w:val="05D43962"/>
    <w:rsid w:val="08811A5C"/>
    <w:rsid w:val="0AD425F9"/>
    <w:rsid w:val="106A30F3"/>
    <w:rsid w:val="14FD6733"/>
    <w:rsid w:val="173166B8"/>
    <w:rsid w:val="17D468F4"/>
    <w:rsid w:val="1AF44BD8"/>
    <w:rsid w:val="1B4A2CAF"/>
    <w:rsid w:val="1D246E55"/>
    <w:rsid w:val="1DA90861"/>
    <w:rsid w:val="1DB85381"/>
    <w:rsid w:val="1E7476C9"/>
    <w:rsid w:val="200E15B3"/>
    <w:rsid w:val="211667CB"/>
    <w:rsid w:val="21530B74"/>
    <w:rsid w:val="239B50D7"/>
    <w:rsid w:val="24DB4525"/>
    <w:rsid w:val="2591376E"/>
    <w:rsid w:val="263C168D"/>
    <w:rsid w:val="269902DF"/>
    <w:rsid w:val="275746DD"/>
    <w:rsid w:val="27600519"/>
    <w:rsid w:val="295B2467"/>
    <w:rsid w:val="2AA26EDD"/>
    <w:rsid w:val="30455855"/>
    <w:rsid w:val="31785F6E"/>
    <w:rsid w:val="31B5299E"/>
    <w:rsid w:val="32E10D6E"/>
    <w:rsid w:val="33E402A7"/>
    <w:rsid w:val="342C2E72"/>
    <w:rsid w:val="35621FD3"/>
    <w:rsid w:val="37621267"/>
    <w:rsid w:val="3B2D592D"/>
    <w:rsid w:val="3BC43568"/>
    <w:rsid w:val="3C6D1C18"/>
    <w:rsid w:val="40ED03F5"/>
    <w:rsid w:val="44FC29CD"/>
    <w:rsid w:val="46022F6A"/>
    <w:rsid w:val="47784399"/>
    <w:rsid w:val="4A240FA5"/>
    <w:rsid w:val="4C30095A"/>
    <w:rsid w:val="4C3345A7"/>
    <w:rsid w:val="4D683FE0"/>
    <w:rsid w:val="4E74734C"/>
    <w:rsid w:val="508D765E"/>
    <w:rsid w:val="54502155"/>
    <w:rsid w:val="57F047FE"/>
    <w:rsid w:val="58747712"/>
    <w:rsid w:val="5CD25C98"/>
    <w:rsid w:val="5F9266A4"/>
    <w:rsid w:val="60182BAD"/>
    <w:rsid w:val="6105263C"/>
    <w:rsid w:val="623E68BF"/>
    <w:rsid w:val="62833D3F"/>
    <w:rsid w:val="6378393C"/>
    <w:rsid w:val="63F123EB"/>
    <w:rsid w:val="643B27E7"/>
    <w:rsid w:val="64AC6C6D"/>
    <w:rsid w:val="64C3605F"/>
    <w:rsid w:val="65281682"/>
    <w:rsid w:val="690F337D"/>
    <w:rsid w:val="6A5346D7"/>
    <w:rsid w:val="6C5B4AC3"/>
    <w:rsid w:val="6D3E2631"/>
    <w:rsid w:val="6F413A0E"/>
    <w:rsid w:val="704979B6"/>
    <w:rsid w:val="71313099"/>
    <w:rsid w:val="7215000D"/>
    <w:rsid w:val="727609EA"/>
    <w:rsid w:val="734B05C2"/>
    <w:rsid w:val="7414378F"/>
    <w:rsid w:val="74C507FC"/>
    <w:rsid w:val="75421228"/>
    <w:rsid w:val="75963FB7"/>
    <w:rsid w:val="78165F38"/>
    <w:rsid w:val="79890041"/>
    <w:rsid w:val="7DE1518D"/>
    <w:rsid w:val="7E24255E"/>
    <w:rsid w:val="7F1B59B5"/>
    <w:rsid w:val="7FEF40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next w:val="1"/>
    <w:qFormat/>
    <w:uiPriority w:val="99"/>
    <w:pPr>
      <w:autoSpaceDE w:val="0"/>
      <w:autoSpaceDN w:val="0"/>
      <w:jc w:val="left"/>
    </w:pPr>
    <w:rPr>
      <w:rFonts w:ascii="宋体" w:eastAsia="宋体"/>
      <w:color w:val="000000"/>
      <w:kern w:val="0"/>
      <w:sz w:val="24"/>
      <w:szCs w:val="24"/>
    </w:rPr>
  </w:style>
  <w:style w:type="paragraph" w:styleId="3">
    <w:name w:val="Normal Indent"/>
    <w:basedOn w:val="1"/>
    <w:link w:val="24"/>
    <w:qFormat/>
    <w:uiPriority w:val="99"/>
    <w:pPr>
      <w:spacing w:line="520" w:lineRule="exact"/>
      <w:ind w:firstLine="624"/>
    </w:pPr>
    <w:rPr>
      <w:rFonts w:eastAsia="宋体"/>
      <w:sz w:val="28"/>
      <w:szCs w:val="20"/>
    </w:rPr>
  </w:style>
  <w:style w:type="paragraph" w:styleId="4">
    <w:name w:val="Body Text"/>
    <w:basedOn w:val="1"/>
    <w:link w:val="14"/>
    <w:qFormat/>
    <w:uiPriority w:val="99"/>
    <w:pPr>
      <w:spacing w:after="120"/>
    </w:pPr>
    <w:rPr>
      <w:kern w:val="0"/>
    </w:rPr>
  </w:style>
  <w:style w:type="paragraph" w:styleId="5">
    <w:name w:val="Body Text Indent"/>
    <w:basedOn w:val="1"/>
    <w:link w:val="15"/>
    <w:qFormat/>
    <w:uiPriority w:val="99"/>
    <w:pPr>
      <w:spacing w:after="120"/>
      <w:ind w:left="420" w:leftChars="200"/>
    </w:pPr>
  </w:style>
  <w:style w:type="paragraph" w:styleId="6">
    <w:name w:val="Plain Text"/>
    <w:basedOn w:val="1"/>
    <w:link w:val="21"/>
    <w:qFormat/>
    <w:uiPriority w:val="99"/>
    <w:rPr>
      <w:rFonts w:ascii="宋体" w:hAnsi="Courier New"/>
      <w:sz w:val="28"/>
      <w:szCs w:val="20"/>
    </w:rPr>
  </w:style>
  <w:style w:type="paragraph" w:styleId="7">
    <w:name w:val="footer"/>
    <w:basedOn w:val="1"/>
    <w:link w:val="17"/>
    <w:qFormat/>
    <w:uiPriority w:val="99"/>
    <w:pPr>
      <w:tabs>
        <w:tab w:val="center" w:pos="4153"/>
        <w:tab w:val="right" w:pos="8306"/>
      </w:tabs>
      <w:snapToGrid w:val="0"/>
      <w:jc w:val="left"/>
    </w:pPr>
    <w:rPr>
      <w:kern w:val="0"/>
      <w:sz w:val="18"/>
      <w:szCs w:val="18"/>
    </w:rPr>
  </w:style>
  <w:style w:type="paragraph" w:styleId="8">
    <w:name w:val="header"/>
    <w:basedOn w:val="1"/>
    <w:link w:val="18"/>
    <w:qFormat/>
    <w:uiPriority w:val="99"/>
    <w:pPr>
      <w:pBdr>
        <w:bottom w:val="thickThinSmallGap" w:color="auto" w:sz="24" w:space="1"/>
      </w:pBdr>
      <w:tabs>
        <w:tab w:val="center" w:pos="4153"/>
        <w:tab w:val="right" w:pos="8306"/>
      </w:tabs>
      <w:snapToGrid w:val="0"/>
      <w:jc w:val="center"/>
    </w:pPr>
    <w:rPr>
      <w:kern w:val="0"/>
      <w:sz w:val="18"/>
      <w:szCs w:val="18"/>
    </w:rPr>
  </w:style>
  <w:style w:type="paragraph" w:styleId="9">
    <w:name w:val="Body Text First Indent 2"/>
    <w:basedOn w:val="5"/>
    <w:link w:val="27"/>
    <w:locked/>
    <w:uiPriority w:val="99"/>
    <w:pPr>
      <w:ind w:firstLine="420" w:firstLineChars="200"/>
    </w:pPr>
  </w:style>
  <w:style w:type="character" w:styleId="12">
    <w:name w:val="page number"/>
    <w:basedOn w:val="11"/>
    <w:qFormat/>
    <w:uiPriority w:val="99"/>
    <w:rPr>
      <w:rFonts w:cs="Times New Roman"/>
    </w:rPr>
  </w:style>
  <w:style w:type="character" w:styleId="13">
    <w:name w:val="annotation reference"/>
    <w:basedOn w:val="11"/>
    <w:qFormat/>
    <w:uiPriority w:val="99"/>
    <w:rPr>
      <w:rFonts w:cs="Times New Roman"/>
      <w:sz w:val="21"/>
    </w:rPr>
  </w:style>
  <w:style w:type="character" w:customStyle="1" w:styleId="14">
    <w:name w:val="Body Text Char"/>
    <w:basedOn w:val="11"/>
    <w:link w:val="4"/>
    <w:semiHidden/>
    <w:qFormat/>
    <w:locked/>
    <w:uiPriority w:val="99"/>
    <w:rPr>
      <w:rFonts w:ascii="Times New Roman" w:hAnsi="Times New Roman" w:eastAsia="仿宋_GB2312" w:cs="Times New Roman"/>
      <w:sz w:val="32"/>
    </w:rPr>
  </w:style>
  <w:style w:type="character" w:customStyle="1" w:styleId="15">
    <w:name w:val="Body Text Indent Char"/>
    <w:basedOn w:val="11"/>
    <w:link w:val="5"/>
    <w:qFormat/>
    <w:locked/>
    <w:uiPriority w:val="99"/>
    <w:rPr>
      <w:rFonts w:eastAsia="仿宋_GB2312" w:cs="Times New Roman"/>
      <w:kern w:val="2"/>
      <w:sz w:val="32"/>
    </w:rPr>
  </w:style>
  <w:style w:type="character" w:customStyle="1" w:styleId="16">
    <w:name w:val="Plain Text Char"/>
    <w:basedOn w:val="11"/>
    <w:link w:val="6"/>
    <w:qFormat/>
    <w:locked/>
    <w:uiPriority w:val="99"/>
    <w:rPr>
      <w:rFonts w:ascii="宋体" w:hAnsi="Courier New" w:cs="Times New Roman"/>
      <w:kern w:val="2"/>
      <w:sz w:val="21"/>
    </w:rPr>
  </w:style>
  <w:style w:type="character" w:customStyle="1" w:styleId="17">
    <w:name w:val="Footer Char"/>
    <w:basedOn w:val="11"/>
    <w:link w:val="7"/>
    <w:semiHidden/>
    <w:qFormat/>
    <w:locked/>
    <w:uiPriority w:val="99"/>
    <w:rPr>
      <w:rFonts w:ascii="Times New Roman" w:hAnsi="Times New Roman" w:eastAsia="仿宋_GB2312" w:cs="Times New Roman"/>
      <w:sz w:val="18"/>
    </w:rPr>
  </w:style>
  <w:style w:type="character" w:customStyle="1" w:styleId="18">
    <w:name w:val="Header Char"/>
    <w:basedOn w:val="11"/>
    <w:link w:val="8"/>
    <w:semiHidden/>
    <w:qFormat/>
    <w:locked/>
    <w:uiPriority w:val="99"/>
    <w:rPr>
      <w:rFonts w:ascii="Times New Roman" w:hAnsi="Times New Roman" w:eastAsia="仿宋_GB2312" w:cs="Times New Roman"/>
      <w:sz w:val="18"/>
    </w:rPr>
  </w:style>
  <w:style w:type="paragraph" w:customStyle="1" w:styleId="19">
    <w:name w:val="表内文字"/>
    <w:basedOn w:val="1"/>
    <w:qFormat/>
    <w:uiPriority w:val="99"/>
    <w:pPr>
      <w:widowControl/>
      <w:adjustRightInd w:val="0"/>
      <w:snapToGrid w:val="0"/>
      <w:spacing w:line="240" w:lineRule="atLeast"/>
      <w:jc w:val="center"/>
    </w:pPr>
    <w:rPr>
      <w:rFonts w:eastAsia="宋体"/>
      <w:kern w:val="0"/>
      <w:sz w:val="21"/>
      <w:szCs w:val="20"/>
    </w:rPr>
  </w:style>
  <w:style w:type="paragraph" w:customStyle="1" w:styleId="20">
    <w:name w:val="9"/>
    <w:basedOn w:val="1"/>
    <w:qFormat/>
    <w:uiPriority w:val="99"/>
    <w:pPr>
      <w:spacing w:line="460" w:lineRule="exact"/>
      <w:ind w:firstLine="480" w:firstLineChars="200"/>
    </w:pPr>
    <w:rPr>
      <w:rFonts w:ascii="宋体" w:hAnsi="宋体" w:eastAsia="宋体"/>
      <w:bCs/>
      <w:sz w:val="24"/>
      <w:szCs w:val="24"/>
    </w:rPr>
  </w:style>
  <w:style w:type="character" w:customStyle="1" w:styleId="21">
    <w:name w:val="Plain Text Char1"/>
    <w:link w:val="6"/>
    <w:qFormat/>
    <w:locked/>
    <w:uiPriority w:val="99"/>
    <w:rPr>
      <w:rFonts w:ascii="宋体" w:hAnsi="Courier New" w:eastAsia="仿宋_GB2312"/>
      <w:kern w:val="2"/>
      <w:sz w:val="28"/>
    </w:rPr>
  </w:style>
  <w:style w:type="paragraph" w:customStyle="1" w:styleId="22">
    <w:name w:val="正文格式"/>
    <w:link w:val="23"/>
    <w:qFormat/>
    <w:uiPriority w:val="99"/>
    <w:pPr>
      <w:spacing w:line="360" w:lineRule="auto"/>
      <w:ind w:firstLine="200" w:firstLineChars="200"/>
    </w:pPr>
    <w:rPr>
      <w:rFonts w:ascii="宋体" w:hAnsi="Times New Roman" w:eastAsia="宋体" w:cs="Times New Roman"/>
      <w:color w:val="000000"/>
      <w:w w:val="110"/>
      <w:kern w:val="0"/>
      <w:sz w:val="22"/>
      <w:szCs w:val="22"/>
      <w:lang w:val="en-US" w:eastAsia="zh-CN" w:bidi="ar-SA"/>
    </w:rPr>
  </w:style>
  <w:style w:type="character" w:customStyle="1" w:styleId="23">
    <w:name w:val="正文格式 Char Char"/>
    <w:link w:val="22"/>
    <w:qFormat/>
    <w:locked/>
    <w:uiPriority w:val="99"/>
    <w:rPr>
      <w:rFonts w:ascii="宋体"/>
      <w:color w:val="000000"/>
      <w:w w:val="110"/>
      <w:sz w:val="22"/>
    </w:rPr>
  </w:style>
  <w:style w:type="character" w:customStyle="1" w:styleId="24">
    <w:name w:val="Normal Indent Char"/>
    <w:link w:val="3"/>
    <w:qFormat/>
    <w:locked/>
    <w:uiPriority w:val="99"/>
    <w:rPr>
      <w:kern w:val="2"/>
      <w:sz w:val="28"/>
    </w:rPr>
  </w:style>
  <w:style w:type="paragraph" w:customStyle="1" w:styleId="25">
    <w:name w:val="表格内"/>
    <w:basedOn w:val="1"/>
    <w:qFormat/>
    <w:uiPriority w:val="99"/>
    <w:pPr>
      <w:adjustRightInd w:val="0"/>
      <w:spacing w:line="240" w:lineRule="atLeast"/>
      <w:jc w:val="center"/>
      <w:textAlignment w:val="baseline"/>
    </w:pPr>
    <w:rPr>
      <w:rFonts w:ascii="宋体"/>
      <w:kern w:val="0"/>
      <w:sz w:val="28"/>
      <w:szCs w:val="20"/>
    </w:rPr>
  </w:style>
  <w:style w:type="character" w:customStyle="1" w:styleId="26">
    <w:name w:val="15"/>
    <w:basedOn w:val="11"/>
    <w:qFormat/>
    <w:uiPriority w:val="99"/>
    <w:rPr>
      <w:rFonts w:ascii="Times New Roman" w:hAnsi="Times New Roman" w:cs="Times New Roman"/>
    </w:rPr>
  </w:style>
  <w:style w:type="character" w:customStyle="1" w:styleId="27">
    <w:name w:val="Body Text First Indent 2 Char"/>
    <w:basedOn w:val="15"/>
    <w:link w:val="9"/>
    <w:semiHidden/>
    <w:qFormat/>
    <w:locked/>
    <w:uiPriority w:val="99"/>
    <w:rPr>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371</Words>
  <Characters>2118</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2021-07-27T09:46:00Z</dcterms:created>
  <dc:creator>Administrator</dc:creator>
  <cp:lastModifiedBy>陌</cp:lastModifiedBy>
  <cp:lastPrinted>2021-08-09T03:19:00Z</cp:lastPrinted>
  <dcterms:modified xsi:type="dcterms:W3CDTF">2021-08-10T02:20:01Z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C6D9556ABB8C498F975CCA166B607F20</vt:lpwstr>
  </property>
</Properties>
</file>