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sz w:val="44"/>
          <w:szCs w:val="44"/>
        </w:rPr>
      </w:pPr>
    </w:p>
    <w:p>
      <w:pPr>
        <w:pStyle w:val="21"/>
        <w:rPr>
          <w:color w:val="auto"/>
          <w:sz w:val="44"/>
          <w:szCs w:val="44"/>
        </w:rPr>
      </w:pPr>
    </w:p>
    <w:p>
      <w:pPr>
        <w:spacing w:line="560" w:lineRule="exact"/>
        <w:rPr>
          <w:sz w:val="44"/>
          <w:szCs w:val="44"/>
        </w:rPr>
      </w:pPr>
    </w:p>
    <w:p>
      <w:pPr>
        <w:spacing w:line="560" w:lineRule="exact"/>
        <w:rPr>
          <w:sz w:val="44"/>
          <w:szCs w:val="44"/>
        </w:rPr>
      </w:pPr>
    </w:p>
    <w:p>
      <w:pPr>
        <w:spacing w:line="560" w:lineRule="exact"/>
        <w:rPr>
          <w:sz w:val="44"/>
          <w:szCs w:val="44"/>
        </w:rPr>
      </w:pPr>
    </w:p>
    <w:p>
      <w:pPr>
        <w:spacing w:line="560" w:lineRule="exact"/>
        <w:rPr>
          <w:sz w:val="44"/>
          <w:szCs w:val="44"/>
        </w:rPr>
      </w:pPr>
    </w:p>
    <w:p>
      <w:pPr>
        <w:spacing w:line="560" w:lineRule="exact"/>
        <w:rPr>
          <w:sz w:val="44"/>
          <w:szCs w:val="44"/>
        </w:rPr>
      </w:pPr>
      <w:r>
        <w:pict>
          <v:shape id="文本框 1" o:spid="_x0000_s1027" o:spt="202" type="#_x0000_t202" style="position:absolute;left:0pt;margin-left:99pt;margin-top:17.8pt;height:39.5pt;width:232.2pt;z-index:25165926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">
            <v:path arrowok="t"/>
            <v:fill focussize="0,0"/>
            <v:stroke color="#FFFFFF" joinstyle="miter"/>
            <v:imagedata o:title=""/>
            <o:lock v:ext="edit"/>
            <v:textbox>
              <w:txbxContent>
                <w:p>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21〕</w:t>
                  </w:r>
                  <w:r>
                    <w:rPr>
                      <w:rFonts w:hint="eastAsia"/>
                      <w:lang w:val="en-US" w:eastAsia="zh-CN"/>
                    </w:rPr>
                    <w:t>57</w:t>
                  </w:r>
                  <w:r>
                    <w:rPr>
                      <w:rFonts w:hint="eastAsia"/>
                    </w:rPr>
                    <w:t>号</w:t>
                  </w:r>
                </w:p>
              </w:txbxContent>
            </v:textbox>
          </v:shape>
        </w:pict>
      </w:r>
    </w:p>
    <w:p>
      <w:pPr>
        <w:spacing w:line="560" w:lineRule="exact"/>
        <w:jc w:val="both"/>
      </w:pPr>
    </w:p>
    <w:p>
      <w:pPr>
        <w:spacing w:line="640" w:lineRule="exact"/>
        <w:jc w:val="center"/>
        <w:rPr>
          <w:rFonts w:ascii="方正小标宋简体" w:hAnsi="宋体" w:eastAsia="方正小标宋简体" w:cs="方正小标宋简体"/>
          <w:sz w:val="44"/>
          <w:szCs w:val="44"/>
        </w:rPr>
      </w:pPr>
      <w:r>
        <w:rPr>
          <w:rFonts w:hint="eastAsia" w:ascii="方正小标宋简体" w:hAnsi="宋体" w:eastAsia="方正小标宋简体" w:cs="方正小标宋简体"/>
          <w:sz w:val="44"/>
          <w:szCs w:val="44"/>
        </w:rPr>
        <w:t>关于阿拉尔市绿沃基质有限公司农作物秸秆资源化综合利用项目环境影响报告表的批复</w:t>
      </w:r>
    </w:p>
    <w:p/>
    <w:p>
      <w:pPr>
        <w:adjustRightInd w:val="0"/>
        <w:snapToGrid w:val="0"/>
        <w:spacing w:line="560" w:lineRule="exact"/>
        <w:rPr>
          <w:rFonts w:ascii="仿宋_GB2312"/>
        </w:rPr>
      </w:pPr>
      <w:r>
        <w:rPr>
          <w:rFonts w:hint="eastAsia" w:ascii="仿宋_GB2312"/>
        </w:rPr>
        <w:t>阿拉尔市绿沃基质有限公司：</w:t>
      </w:r>
    </w:p>
    <w:p>
      <w:pPr>
        <w:adjustRightInd w:val="0"/>
        <w:snapToGrid w:val="0"/>
        <w:spacing w:line="560" w:lineRule="exact"/>
        <w:ind w:firstLine="610" w:firstLineChars="200"/>
        <w:rPr>
          <w:rFonts w:ascii="仿宋_GB2312"/>
        </w:rPr>
      </w:pPr>
      <w:r>
        <w:rPr>
          <w:rFonts w:hint="eastAsia" w:ascii="仿宋_GB2312"/>
        </w:rPr>
        <w:t>你单位报送的《关于送审阿拉尔市绿沃基质有限公司农作物秸秆资源化综合利用项目环评审批的请示》及《阿拉尔市绿沃基质有限公司农作物秸秆资源化综合利用项目环境影响报告表》（以下简称“报告表”）收悉。经专家审查和研究，现批复如下：</w:t>
      </w:r>
    </w:p>
    <w:p>
      <w:pPr>
        <w:adjustRightInd w:val="0"/>
        <w:snapToGrid w:val="0"/>
        <w:spacing w:line="560" w:lineRule="exact"/>
        <w:rPr>
          <w:rFonts w:ascii="仿宋_GB2312"/>
        </w:rPr>
      </w:pPr>
      <w:r>
        <w:rPr>
          <w:rFonts w:ascii="仿宋_GB2312"/>
        </w:rPr>
        <w:t xml:space="preserve">    </w:t>
      </w:r>
      <w:r>
        <w:rPr>
          <w:rFonts w:hint="eastAsia" w:ascii="仿宋_GB2312"/>
        </w:rPr>
        <w:t>一、该项目</w:t>
      </w:r>
      <w:r>
        <w:rPr>
          <w:rFonts w:hint="eastAsia" w:ascii="仿宋_GB2312"/>
          <w:kern w:val="0"/>
        </w:rPr>
        <w:t>位于阿拉尔市十四团职工创业区</w:t>
      </w:r>
      <w:r>
        <w:rPr>
          <w:rFonts w:hint="eastAsia" w:ascii="仿宋_GB2312"/>
          <w:bCs/>
        </w:rPr>
        <w:t>创业大道以西，十四团至十一团公路以北</w:t>
      </w:r>
      <w:r>
        <w:rPr>
          <w:rFonts w:hint="eastAsia" w:ascii="仿宋_GB2312"/>
        </w:rPr>
        <w:t>，项目区东侧、南侧现均为道路，西侧、北侧现均为空地，厂区中心地理坐标为：东经</w:t>
      </w:r>
      <w:r>
        <w:rPr>
          <w:rFonts w:ascii="仿宋_GB2312"/>
        </w:rPr>
        <w:t>81</w:t>
      </w:r>
      <w:r>
        <w:rPr>
          <w:rFonts w:hint="eastAsia" w:ascii="仿宋_GB2312"/>
        </w:rPr>
        <w:t>°</w:t>
      </w:r>
      <w:r>
        <w:rPr>
          <w:rFonts w:ascii="仿宋_GB2312"/>
        </w:rPr>
        <w:t>47'3"</w:t>
      </w:r>
      <w:r>
        <w:rPr>
          <w:rFonts w:hint="eastAsia" w:ascii="仿宋_GB2312"/>
        </w:rPr>
        <w:t>，北纬</w:t>
      </w:r>
      <w:r>
        <w:rPr>
          <w:rFonts w:ascii="仿宋_GB2312"/>
        </w:rPr>
        <w:t>40</w:t>
      </w:r>
      <w:r>
        <w:rPr>
          <w:rFonts w:hint="eastAsia" w:ascii="仿宋_GB2312"/>
        </w:rPr>
        <w:t>°</w:t>
      </w:r>
      <w:r>
        <w:rPr>
          <w:rFonts w:ascii="仿宋_GB2312"/>
        </w:rPr>
        <w:t>38'18"</w:t>
      </w:r>
      <w:r>
        <w:rPr>
          <w:rFonts w:hint="eastAsia" w:ascii="仿宋_GB2312"/>
        </w:rPr>
        <w:t>。该项目总占地约为</w:t>
      </w:r>
      <w:r>
        <w:rPr>
          <w:rFonts w:ascii="仿宋_GB2312"/>
        </w:rPr>
        <w:t>100000m</w:t>
      </w:r>
      <w:r>
        <w:rPr>
          <w:rFonts w:ascii="仿宋_GB2312"/>
          <w:vertAlign w:val="superscript"/>
        </w:rPr>
        <w:t>2</w:t>
      </w:r>
      <w:r>
        <w:rPr>
          <w:rFonts w:hint="eastAsia" w:ascii="仿宋_GB2312"/>
        </w:rPr>
        <w:t>，总建筑面积为</w:t>
      </w:r>
      <w:r>
        <w:rPr>
          <w:rFonts w:ascii="仿宋_GB2312"/>
        </w:rPr>
        <w:t>28480m</w:t>
      </w:r>
      <w:r>
        <w:rPr>
          <w:rFonts w:ascii="仿宋_GB2312"/>
          <w:vertAlign w:val="superscript"/>
        </w:rPr>
        <w:t>2</w:t>
      </w:r>
      <w:r>
        <w:rPr>
          <w:rFonts w:hint="eastAsia" w:ascii="仿宋_GB2312"/>
        </w:rPr>
        <w:t>，主要建设内容为：生物质炭化车间、活性炭生产车间、炭基肥生产车间、机制炭生产车间、原辅材料及产品车间、办公用房、辅助及附属用房等。项目</w:t>
      </w:r>
      <w:r>
        <w:rPr>
          <w:rFonts w:hint="eastAsia" w:ascii="仿宋_GB2312"/>
          <w:bCs/>
        </w:rPr>
        <w:t>建成后生产活性炭</w:t>
      </w:r>
      <w:r>
        <w:rPr>
          <w:rFonts w:ascii="仿宋_GB2312"/>
          <w:bCs/>
        </w:rPr>
        <w:t>1.5</w:t>
      </w:r>
      <w:r>
        <w:rPr>
          <w:rFonts w:hint="eastAsia" w:ascii="仿宋_GB2312"/>
          <w:bCs/>
        </w:rPr>
        <w:t>万</w:t>
      </w:r>
      <w:r>
        <w:rPr>
          <w:rFonts w:ascii="仿宋_GB2312"/>
          <w:bCs/>
        </w:rPr>
        <w:t>t/a</w:t>
      </w:r>
      <w:r>
        <w:rPr>
          <w:rFonts w:hint="eastAsia" w:ascii="仿宋_GB2312"/>
          <w:bCs/>
        </w:rPr>
        <w:t>、机制木炭</w:t>
      </w:r>
      <w:r>
        <w:rPr>
          <w:rFonts w:ascii="仿宋_GB2312"/>
          <w:bCs/>
        </w:rPr>
        <w:t>1</w:t>
      </w:r>
      <w:r>
        <w:rPr>
          <w:rFonts w:hint="eastAsia" w:ascii="仿宋_GB2312"/>
          <w:bCs/>
        </w:rPr>
        <w:t>万</w:t>
      </w:r>
      <w:r>
        <w:rPr>
          <w:rFonts w:ascii="仿宋_GB2312"/>
          <w:bCs/>
        </w:rPr>
        <w:t>t/a</w:t>
      </w:r>
      <w:r>
        <w:rPr>
          <w:rFonts w:hint="eastAsia" w:ascii="仿宋_GB2312"/>
          <w:bCs/>
        </w:rPr>
        <w:t>、炭基肥</w:t>
      </w:r>
      <w:r>
        <w:rPr>
          <w:rFonts w:ascii="仿宋_GB2312"/>
          <w:bCs/>
        </w:rPr>
        <w:t>1</w:t>
      </w:r>
      <w:r>
        <w:rPr>
          <w:rFonts w:hint="eastAsia" w:ascii="仿宋_GB2312"/>
          <w:bCs/>
        </w:rPr>
        <w:t>万</w:t>
      </w:r>
      <w:r>
        <w:rPr>
          <w:rFonts w:ascii="仿宋_GB2312"/>
          <w:bCs/>
        </w:rPr>
        <w:t>t/a</w:t>
      </w:r>
      <w:r>
        <w:rPr>
          <w:rFonts w:hint="eastAsia" w:ascii="仿宋_GB2312"/>
          <w:bCs/>
        </w:rPr>
        <w:t>，年收储运及综合利用农作物秸秆（主要为棉秆）</w:t>
      </w:r>
      <w:r>
        <w:rPr>
          <w:rFonts w:ascii="仿宋_GB2312"/>
          <w:bCs/>
        </w:rPr>
        <w:t>12</w:t>
      </w:r>
      <w:r>
        <w:rPr>
          <w:rFonts w:hint="eastAsia" w:ascii="仿宋_GB2312"/>
          <w:bCs/>
        </w:rPr>
        <w:t>万吨</w:t>
      </w:r>
      <w:r>
        <w:rPr>
          <w:rFonts w:hint="eastAsia" w:ascii="仿宋_GB2312"/>
        </w:rPr>
        <w:t>。项目</w:t>
      </w:r>
      <w:r>
        <w:rPr>
          <w:rFonts w:hint="eastAsia" w:ascii="仿宋_GB2312"/>
          <w:kern w:val="24"/>
          <w:lang w:val="en-GB"/>
        </w:rPr>
        <w:t>总投资</w:t>
      </w:r>
      <w:r>
        <w:rPr>
          <w:rFonts w:ascii="仿宋_GB2312"/>
        </w:rPr>
        <w:t>7536</w:t>
      </w:r>
      <w:r>
        <w:rPr>
          <w:rFonts w:hint="eastAsia" w:ascii="仿宋_GB2312"/>
        </w:rPr>
        <w:t>万元，其中环保投资</w:t>
      </w:r>
      <w:r>
        <w:rPr>
          <w:rFonts w:ascii="仿宋_GB2312"/>
        </w:rPr>
        <w:t>99.5</w:t>
      </w:r>
      <w:r>
        <w:rPr>
          <w:rFonts w:hint="eastAsia" w:ascii="仿宋_GB2312"/>
        </w:rPr>
        <w:t>万元，占总投资的</w:t>
      </w:r>
      <w:r>
        <w:rPr>
          <w:rFonts w:ascii="仿宋_GB2312"/>
        </w:rPr>
        <w:t>1.32%</w:t>
      </w:r>
      <w:r>
        <w:rPr>
          <w:rFonts w:hint="eastAsia" w:ascii="仿宋_GB2312"/>
        </w:rPr>
        <w:t>。</w:t>
      </w:r>
    </w:p>
    <w:p>
      <w:pPr>
        <w:adjustRightInd w:val="0"/>
        <w:snapToGrid w:val="0"/>
        <w:spacing w:line="560" w:lineRule="exact"/>
        <w:ind w:firstLine="630"/>
        <w:rPr>
          <w:rFonts w:ascii="仿宋_GB2312"/>
        </w:rPr>
      </w:pPr>
      <w:r>
        <w:rPr>
          <w:rFonts w:hint="eastAsia" w:ascii="仿宋_GB2312"/>
        </w:rPr>
        <w:t>二、该项目属于肥料加工和生物质燃料加工项目，我局原则同意报告表的结论。该项目生物质炭生产工艺流程；棉杆、秸秆、稻壳→粉碎、筛分→烘干→成型→气化→生物质炭（中间产品）；活性炭生产工艺为：生物质炭→活化炉→活性炭产品；机制炭生产工艺流程为：生物质炭→粉碎→制碳→烘干→包装→机制炭产品；炭基肥生产工艺流程为：生物质炭（磨粉）、有机质、有机肥→计量系统→配料搅拌→包装→炭基肥产品。项目经投资主管部门依法审批后，你单位须严格按照报告表所列建设项目的性质、规模、地点、环保对策措施实施项目建设。</w:t>
      </w:r>
    </w:p>
    <w:p>
      <w:pPr>
        <w:adjustRightInd w:val="0"/>
        <w:snapToGrid w:val="0"/>
        <w:spacing w:line="560" w:lineRule="exact"/>
        <w:ind w:firstLine="630"/>
        <w:rPr>
          <w:rFonts w:ascii="仿宋_GB2312"/>
        </w:rPr>
      </w:pPr>
      <w:r>
        <w:rPr>
          <w:rFonts w:hint="eastAsia" w:ascii="仿宋_GB2312"/>
        </w:rPr>
        <w:t>三、你单位在项目建设和运营中，应严格执行有关环境质量标准和污染物排放标准，认真、全面落实报告表提出的各项环保对策措施要求，确保污染物达标排放。重点做好以下工作：</w:t>
      </w:r>
    </w:p>
    <w:p>
      <w:pPr>
        <w:adjustRightInd w:val="0"/>
        <w:snapToGrid w:val="0"/>
        <w:spacing w:line="560" w:lineRule="exact"/>
        <w:ind w:firstLine="610" w:firstLineChars="200"/>
        <w:rPr>
          <w:rFonts w:ascii="仿宋_GB2312"/>
        </w:rPr>
      </w:pPr>
      <w:r>
        <w:rPr>
          <w:rFonts w:hint="eastAsia" w:ascii="仿宋_GB2312"/>
        </w:rPr>
        <w:t>（一）认真落实施工期环境保护措施。做好施工期过程中降噪、防尘措施及施工固废的清理工作，妥善处置施工废弃物、生活垃圾及生活污水。</w:t>
      </w:r>
    </w:p>
    <w:p>
      <w:pPr>
        <w:adjustRightInd w:val="0"/>
        <w:snapToGrid w:val="0"/>
        <w:spacing w:line="560" w:lineRule="exact"/>
        <w:ind w:firstLine="610" w:firstLineChars="200"/>
        <w:rPr>
          <w:rFonts w:ascii="仿宋_GB2312"/>
        </w:rPr>
      </w:pPr>
      <w:r>
        <w:rPr>
          <w:rFonts w:hint="eastAsia" w:ascii="仿宋_GB2312"/>
        </w:rPr>
        <w:t>（二）严格落实水污染防治措施。项目运营期废水主要为生物质锅炉排水、软化排水及生活废水。其中，锅炉排污水和软水制备废水属于清洁废水，生活污水成分较为简单，经地埋式一体化污水处理达到《城镇污水处理厂污染物排放标准》（</w:t>
      </w:r>
      <w:r>
        <w:rPr>
          <w:rFonts w:ascii="仿宋_GB2312"/>
        </w:rPr>
        <w:t>GB18918-2002</w:t>
      </w:r>
      <w:r>
        <w:rPr>
          <w:rFonts w:hint="eastAsia" w:ascii="仿宋_GB2312"/>
        </w:rPr>
        <w:t>）一级</w:t>
      </w:r>
      <w:r>
        <w:rPr>
          <w:rFonts w:ascii="仿宋_GB2312"/>
        </w:rPr>
        <w:t>A</w:t>
      </w:r>
      <w:r>
        <w:rPr>
          <w:rFonts w:hint="eastAsia" w:ascii="仿宋_GB2312"/>
        </w:rPr>
        <w:t>标准及《城市污水再生利用</w:t>
      </w:r>
      <w:r>
        <w:rPr>
          <w:rFonts w:ascii="仿宋_GB2312"/>
        </w:rPr>
        <w:t xml:space="preserve"> </w:t>
      </w:r>
      <w:r>
        <w:rPr>
          <w:rFonts w:hint="eastAsia" w:ascii="仿宋_GB2312"/>
        </w:rPr>
        <w:t>城市杂用水水质》（</w:t>
      </w:r>
      <w:r>
        <w:rPr>
          <w:rFonts w:ascii="仿宋_GB2312"/>
        </w:rPr>
        <w:t>GB/T18920-2020</w:t>
      </w:r>
      <w:r>
        <w:rPr>
          <w:rFonts w:hint="eastAsia" w:ascii="仿宋_GB2312"/>
        </w:rPr>
        <w:t>），灌溉期用于厂区绿化及洒水降尘，非灌溉期贮存在厂区废水收集池。</w:t>
      </w:r>
    </w:p>
    <w:p>
      <w:pPr>
        <w:adjustRightInd w:val="0"/>
        <w:snapToGrid w:val="0"/>
        <w:spacing w:line="560" w:lineRule="exact"/>
        <w:ind w:firstLine="610" w:firstLineChars="200"/>
        <w:rPr>
          <w:rFonts w:ascii="仿宋_GB2312"/>
        </w:rPr>
      </w:pPr>
      <w:r>
        <w:rPr>
          <w:rFonts w:hint="eastAsia" w:ascii="仿宋_GB2312"/>
        </w:rPr>
        <w:t>（三）</w:t>
      </w:r>
      <w:r>
        <w:rPr>
          <w:rFonts w:hint="eastAsia" w:ascii="仿宋_GB2312"/>
          <w:snapToGrid w:val="0"/>
        </w:rPr>
        <w:t>严格落实大气污染防治措施。</w:t>
      </w:r>
      <w:r>
        <w:rPr>
          <w:rFonts w:hint="eastAsia" w:ascii="仿宋_GB2312"/>
        </w:rPr>
        <w:t>营运期大气污染物主要是原料存储、装卸工序粉尘，生物质炭生产过程中原料粉碎、筛分及干燥工序产生粉尘、碳化炉废气，机制炭生产过程中粉碎、烘干工序产生粉尘，炭基肥生产过程中磨粉、筒仓投料、搅拌投料工序产生粉尘及食堂油烟。原料存储、装卸粉尘，采取原料储存库为密闭结构，厂界无组织粉尘满足《大气污染物综合排放标准》</w:t>
      </w:r>
      <w:r>
        <w:rPr>
          <w:rFonts w:ascii="仿宋_GB2312"/>
        </w:rPr>
        <w:t>(GB16297-1996)</w:t>
      </w:r>
      <w:r>
        <w:rPr>
          <w:rFonts w:hint="eastAsia" w:ascii="仿宋_GB2312"/>
        </w:rPr>
        <w:t>中表</w:t>
      </w:r>
      <w:r>
        <w:rPr>
          <w:rFonts w:ascii="仿宋_GB2312"/>
        </w:rPr>
        <w:t>2</w:t>
      </w:r>
      <w:r>
        <w:rPr>
          <w:rFonts w:hint="eastAsia" w:ascii="仿宋_GB2312"/>
        </w:rPr>
        <w:t>颗粒物无组织排放标准（</w:t>
      </w:r>
      <w:r>
        <w:rPr>
          <w:rFonts w:ascii="仿宋_GB2312"/>
        </w:rPr>
        <w:t>1.0mg/m</w:t>
      </w:r>
      <w:r>
        <w:rPr>
          <w:rFonts w:ascii="仿宋_GB2312"/>
          <w:vertAlign w:val="superscript"/>
        </w:rPr>
        <w:t>3</w:t>
      </w:r>
      <w:r>
        <w:rPr>
          <w:rFonts w:hint="eastAsia" w:ascii="仿宋_GB2312"/>
        </w:rPr>
        <w:t>）；生物质炭工艺粉尘通过设置集气罩＋布袋除尘器收集处理后，满足《大气污染物综合排放标准》（</w:t>
      </w:r>
      <w:r>
        <w:rPr>
          <w:rFonts w:ascii="仿宋_GB2312"/>
        </w:rPr>
        <w:t>GB16297-1996</w:t>
      </w:r>
      <w:r>
        <w:rPr>
          <w:rFonts w:hint="eastAsia" w:ascii="仿宋_GB2312"/>
        </w:rPr>
        <w:t>）表</w:t>
      </w:r>
      <w:r>
        <w:rPr>
          <w:rFonts w:ascii="仿宋_GB2312"/>
        </w:rPr>
        <w:t>2</w:t>
      </w:r>
      <w:r>
        <w:rPr>
          <w:rFonts w:hint="eastAsia" w:ascii="仿宋_GB2312"/>
        </w:rPr>
        <w:t>中有组织排放限值要求（颗粒物≤</w:t>
      </w:r>
      <w:r>
        <w:rPr>
          <w:rFonts w:ascii="仿宋_GB2312"/>
        </w:rPr>
        <w:t>120mg/m</w:t>
      </w:r>
      <w:r>
        <w:rPr>
          <w:rFonts w:ascii="仿宋_GB2312"/>
          <w:vertAlign w:val="superscript"/>
        </w:rPr>
        <w:t>3</w:t>
      </w:r>
      <w:r>
        <w:rPr>
          <w:rFonts w:hint="eastAsia" w:ascii="仿宋_GB2312"/>
        </w:rPr>
        <w:t>）后经</w:t>
      </w:r>
      <w:r>
        <w:rPr>
          <w:rFonts w:ascii="仿宋_GB2312"/>
        </w:rPr>
        <w:t>15m</w:t>
      </w:r>
      <w:r>
        <w:rPr>
          <w:rFonts w:hint="eastAsia" w:ascii="仿宋_GB2312"/>
        </w:rPr>
        <w:t>高排气筒（</w:t>
      </w:r>
      <w:r>
        <w:rPr>
          <w:rFonts w:ascii="仿宋_GB2312"/>
        </w:rPr>
        <w:t>1#</w:t>
      </w:r>
      <w:r>
        <w:rPr>
          <w:rFonts w:hint="eastAsia" w:ascii="仿宋_GB2312"/>
        </w:rPr>
        <w:t>）高空排放。碳化炉废气通过布袋除尘器</w:t>
      </w:r>
      <w:r>
        <w:rPr>
          <w:rFonts w:ascii="仿宋_GB2312"/>
        </w:rPr>
        <w:t>+</w:t>
      </w:r>
      <w:r>
        <w:rPr>
          <w:rFonts w:hint="eastAsia" w:ascii="仿宋_GB2312"/>
        </w:rPr>
        <w:t>脱硫塔处理</w:t>
      </w:r>
      <w:r>
        <w:rPr>
          <w:rFonts w:ascii="仿宋_GB2312"/>
        </w:rPr>
        <w:t>+</w:t>
      </w:r>
      <w:r>
        <w:rPr>
          <w:rFonts w:hint="eastAsia" w:ascii="仿宋_GB2312"/>
        </w:rPr>
        <w:t>低氮燃烧器处理后，满足《工业炉窑大气污染物排放标准》（</w:t>
      </w:r>
      <w:r>
        <w:rPr>
          <w:rFonts w:ascii="仿宋_GB2312"/>
        </w:rPr>
        <w:t>GB9078-1996</w:t>
      </w:r>
      <w:r>
        <w:rPr>
          <w:rFonts w:hint="eastAsia" w:ascii="仿宋_GB2312"/>
        </w:rPr>
        <w:t>）中排放限值（颗粒物：</w:t>
      </w:r>
      <w:r>
        <w:rPr>
          <w:rFonts w:ascii="仿宋_GB2312"/>
        </w:rPr>
        <w:t>200mg/m</w:t>
      </w:r>
      <w:r>
        <w:rPr>
          <w:rFonts w:ascii="仿宋_GB2312"/>
          <w:vertAlign w:val="superscript"/>
        </w:rPr>
        <w:t>3</w:t>
      </w:r>
      <w:r>
        <w:rPr>
          <w:rFonts w:hint="eastAsia" w:ascii="仿宋_GB2312"/>
        </w:rPr>
        <w:t>，</w:t>
      </w:r>
      <w:r>
        <w:rPr>
          <w:rFonts w:ascii="仿宋_GB2312"/>
        </w:rPr>
        <w:t>SO</w:t>
      </w:r>
      <w:r>
        <w:rPr>
          <w:rFonts w:ascii="仿宋_GB2312"/>
          <w:vertAlign w:val="subscript"/>
        </w:rPr>
        <w:t>2</w:t>
      </w:r>
      <w:r>
        <w:rPr>
          <w:rFonts w:hint="eastAsia" w:ascii="仿宋_GB2312"/>
        </w:rPr>
        <w:t>：</w:t>
      </w:r>
      <w:r>
        <w:rPr>
          <w:rFonts w:ascii="仿宋_GB2312"/>
        </w:rPr>
        <w:t>850mg/m</w:t>
      </w:r>
      <w:r>
        <w:rPr>
          <w:rFonts w:ascii="仿宋_GB2312"/>
          <w:vertAlign w:val="superscript"/>
        </w:rPr>
        <w:t>3</w:t>
      </w:r>
      <w:r>
        <w:rPr>
          <w:rFonts w:hint="eastAsia" w:ascii="仿宋_GB2312"/>
        </w:rPr>
        <w:t>），</w:t>
      </w:r>
      <w:r>
        <w:rPr>
          <w:rFonts w:ascii="仿宋_GB2312"/>
        </w:rPr>
        <w:t>NO</w:t>
      </w:r>
      <w:r>
        <w:rPr>
          <w:rFonts w:ascii="仿宋_GB2312"/>
          <w:vertAlign w:val="subscript"/>
        </w:rPr>
        <w:t>X</w:t>
      </w:r>
      <w:r>
        <w:rPr>
          <w:rFonts w:hint="eastAsia" w:ascii="仿宋_GB2312"/>
        </w:rPr>
        <w:t>参考《锅炉大气污染物排放标准》（</w:t>
      </w:r>
      <w:r>
        <w:rPr>
          <w:rFonts w:ascii="仿宋_GB2312"/>
        </w:rPr>
        <w:t>GB13271-2014</w:t>
      </w:r>
      <w:r>
        <w:rPr>
          <w:rFonts w:hint="eastAsia" w:ascii="仿宋_GB2312"/>
        </w:rPr>
        <w:t>）中表</w:t>
      </w:r>
      <w:r>
        <w:rPr>
          <w:rFonts w:ascii="仿宋_GB2312"/>
        </w:rPr>
        <w:t>2</w:t>
      </w:r>
      <w:r>
        <w:rPr>
          <w:rFonts w:hint="eastAsia" w:ascii="仿宋_GB2312"/>
        </w:rPr>
        <w:t>燃煤锅炉排放限值</w:t>
      </w:r>
      <w:r>
        <w:rPr>
          <w:rFonts w:ascii="仿宋_GB2312"/>
        </w:rPr>
        <w:t>300mg/m</w:t>
      </w:r>
      <w:r>
        <w:rPr>
          <w:rFonts w:ascii="仿宋_GB2312"/>
          <w:vertAlign w:val="superscript"/>
        </w:rPr>
        <w:t>3</w:t>
      </w:r>
      <w:r>
        <w:rPr>
          <w:rFonts w:hint="eastAsia" w:ascii="仿宋_GB2312"/>
        </w:rPr>
        <w:t>，经</w:t>
      </w:r>
      <w:r>
        <w:rPr>
          <w:rFonts w:ascii="仿宋_GB2312"/>
        </w:rPr>
        <w:t>35m</w:t>
      </w:r>
      <w:r>
        <w:rPr>
          <w:rFonts w:hint="eastAsia" w:ascii="仿宋_GB2312"/>
        </w:rPr>
        <w:t>高排气筒（</w:t>
      </w:r>
      <w:r>
        <w:rPr>
          <w:rFonts w:ascii="仿宋_GB2312"/>
        </w:rPr>
        <w:t>2#</w:t>
      </w:r>
      <w:r>
        <w:rPr>
          <w:rFonts w:hint="eastAsia" w:ascii="仿宋_GB2312"/>
        </w:rPr>
        <w:t>）高空排放；机制炭工艺粉尘通过设置集气罩＋布袋除尘器收集处理后，满足《大气污染物综合排放标准》（</w:t>
      </w:r>
      <w:r>
        <w:rPr>
          <w:rFonts w:ascii="仿宋_GB2312"/>
        </w:rPr>
        <w:t>GB16297-1996</w:t>
      </w:r>
      <w:r>
        <w:rPr>
          <w:rFonts w:hint="eastAsia" w:ascii="仿宋_GB2312"/>
        </w:rPr>
        <w:t>）表</w:t>
      </w:r>
      <w:r>
        <w:rPr>
          <w:rFonts w:ascii="仿宋_GB2312"/>
        </w:rPr>
        <w:t>2</w:t>
      </w:r>
      <w:r>
        <w:rPr>
          <w:rFonts w:hint="eastAsia" w:ascii="仿宋_GB2312"/>
        </w:rPr>
        <w:t>中有组织排放限值要求（颗粒物≤</w:t>
      </w:r>
      <w:r>
        <w:rPr>
          <w:rFonts w:ascii="仿宋_GB2312"/>
        </w:rPr>
        <w:t>120mg/m</w:t>
      </w:r>
      <w:r>
        <w:rPr>
          <w:rFonts w:ascii="仿宋_GB2312"/>
          <w:vertAlign w:val="superscript"/>
        </w:rPr>
        <w:t>3</w:t>
      </w:r>
      <w:r>
        <w:rPr>
          <w:rFonts w:hint="eastAsia" w:ascii="仿宋_GB2312"/>
        </w:rPr>
        <w:t>）后经</w:t>
      </w:r>
      <w:r>
        <w:rPr>
          <w:rFonts w:ascii="仿宋_GB2312"/>
        </w:rPr>
        <w:t>15m</w:t>
      </w:r>
      <w:r>
        <w:rPr>
          <w:rFonts w:hint="eastAsia" w:ascii="仿宋_GB2312"/>
        </w:rPr>
        <w:t>高排气筒（</w:t>
      </w:r>
      <w:r>
        <w:rPr>
          <w:rFonts w:ascii="仿宋_GB2312"/>
        </w:rPr>
        <w:t>3#</w:t>
      </w:r>
      <w:r>
        <w:rPr>
          <w:rFonts w:hint="eastAsia" w:ascii="仿宋_GB2312"/>
        </w:rPr>
        <w:t>）高空排放；炭基肥磨制粉尘和搅拌投料粉尘分别通过设置集气罩＋布袋除尘器收集处理后，满足《大气污染物综合排放标准》（</w:t>
      </w:r>
      <w:r>
        <w:rPr>
          <w:rFonts w:ascii="仿宋_GB2312"/>
        </w:rPr>
        <w:t>GB16297-1996</w:t>
      </w:r>
      <w:r>
        <w:rPr>
          <w:rFonts w:hint="eastAsia" w:ascii="仿宋_GB2312"/>
        </w:rPr>
        <w:t>）表</w:t>
      </w:r>
      <w:r>
        <w:rPr>
          <w:rFonts w:ascii="仿宋_GB2312"/>
        </w:rPr>
        <w:t>2</w:t>
      </w:r>
      <w:r>
        <w:rPr>
          <w:rFonts w:hint="eastAsia" w:ascii="仿宋_GB2312"/>
        </w:rPr>
        <w:t>中有组织排放限值要求（颗粒物≤</w:t>
      </w:r>
      <w:r>
        <w:rPr>
          <w:rFonts w:ascii="仿宋_GB2312"/>
        </w:rPr>
        <w:t>120mg/m</w:t>
      </w:r>
      <w:r>
        <w:rPr>
          <w:rFonts w:ascii="仿宋_GB2312"/>
          <w:vertAlign w:val="superscript"/>
        </w:rPr>
        <w:t>3</w:t>
      </w:r>
      <w:r>
        <w:rPr>
          <w:rFonts w:hint="eastAsia" w:ascii="仿宋_GB2312"/>
        </w:rPr>
        <w:t>）后经</w:t>
      </w:r>
      <w:r>
        <w:rPr>
          <w:rFonts w:ascii="仿宋_GB2312"/>
        </w:rPr>
        <w:t>15m</w:t>
      </w:r>
      <w:r>
        <w:rPr>
          <w:rFonts w:hint="eastAsia" w:ascii="仿宋_GB2312"/>
        </w:rPr>
        <w:t>高排气筒（</w:t>
      </w:r>
      <w:r>
        <w:rPr>
          <w:rFonts w:ascii="仿宋_GB2312"/>
        </w:rPr>
        <w:t>4#</w:t>
      </w:r>
      <w:r>
        <w:rPr>
          <w:rFonts w:hint="eastAsia" w:ascii="仿宋_GB2312"/>
        </w:rPr>
        <w:t>、</w:t>
      </w:r>
      <w:r>
        <w:rPr>
          <w:rFonts w:ascii="仿宋_GB2312"/>
        </w:rPr>
        <w:t>5#</w:t>
      </w:r>
      <w:r>
        <w:rPr>
          <w:rFonts w:hint="eastAsia" w:ascii="仿宋_GB2312"/>
        </w:rPr>
        <w:t>）高空排放。筒仓投料粉尘通过筒仓自带仓顶强制除尘系统，厂界无组织粉尘满足《大气污染物综合排放标准》</w:t>
      </w:r>
      <w:r>
        <w:rPr>
          <w:rFonts w:ascii="仿宋_GB2312"/>
        </w:rPr>
        <w:t>(GB16297-1996)</w:t>
      </w:r>
      <w:r>
        <w:rPr>
          <w:rFonts w:hint="eastAsia" w:ascii="仿宋_GB2312"/>
        </w:rPr>
        <w:t>中表</w:t>
      </w:r>
      <w:r>
        <w:rPr>
          <w:rFonts w:ascii="仿宋_GB2312"/>
        </w:rPr>
        <w:t>2</w:t>
      </w:r>
      <w:r>
        <w:rPr>
          <w:rFonts w:hint="eastAsia" w:ascii="仿宋_GB2312"/>
        </w:rPr>
        <w:t>颗粒物无组织排放标准（</w:t>
      </w:r>
      <w:r>
        <w:rPr>
          <w:rFonts w:ascii="仿宋_GB2312"/>
        </w:rPr>
        <w:t>1.0mg/m</w:t>
      </w:r>
      <w:r>
        <w:rPr>
          <w:rFonts w:ascii="仿宋_GB2312"/>
          <w:vertAlign w:val="superscript"/>
        </w:rPr>
        <w:t>3</w:t>
      </w:r>
      <w:r>
        <w:rPr>
          <w:rFonts w:hint="eastAsia" w:ascii="仿宋_GB2312"/>
        </w:rPr>
        <w:t>）；食堂油烟经油烟净化装置净化处理后经专用烟道引至食堂屋顶外排，满足《饮食业油烟排放标准（试行）》（</w:t>
      </w:r>
      <w:r>
        <w:rPr>
          <w:rFonts w:ascii="仿宋_GB2312"/>
        </w:rPr>
        <w:t>GB 18483-2001</w:t>
      </w:r>
      <w:r>
        <w:rPr>
          <w:rFonts w:hint="eastAsia" w:ascii="仿宋_GB2312"/>
        </w:rPr>
        <w:t>）中最高排放浓度小于</w:t>
      </w:r>
      <w:r>
        <w:rPr>
          <w:rFonts w:ascii="仿宋_GB2312"/>
        </w:rPr>
        <w:t>2.0 mg/m</w:t>
      </w:r>
      <w:r>
        <w:rPr>
          <w:rFonts w:ascii="仿宋_GB2312"/>
          <w:vertAlign w:val="superscript"/>
        </w:rPr>
        <w:t>3</w:t>
      </w:r>
      <w:r>
        <w:rPr>
          <w:rFonts w:hint="eastAsia" w:ascii="仿宋_GB2312"/>
        </w:rPr>
        <w:t>的标准。</w:t>
      </w:r>
    </w:p>
    <w:p>
      <w:pPr>
        <w:adjustRightInd w:val="0"/>
        <w:snapToGrid w:val="0"/>
        <w:spacing w:line="560" w:lineRule="exact"/>
        <w:ind w:firstLine="610" w:firstLineChars="200"/>
        <w:rPr>
          <w:rFonts w:ascii="仿宋_GB2312"/>
        </w:rPr>
      </w:pPr>
      <w:r>
        <w:rPr>
          <w:rFonts w:hint="eastAsia" w:ascii="仿宋_GB2312"/>
        </w:rPr>
        <w:t>该项目卫生防护距离以生产车间为界取</w:t>
      </w:r>
      <w:r>
        <w:rPr>
          <w:rFonts w:ascii="仿宋_GB2312"/>
        </w:rPr>
        <w:t>50m</w:t>
      </w:r>
      <w:r>
        <w:rPr>
          <w:rFonts w:hint="eastAsia" w:ascii="仿宋_GB2312"/>
        </w:rPr>
        <w:t>，项目卫生防护距离内不得规划、建设人群集中居住区、医院、学校、食品加工厂等敏感建筑。</w:t>
      </w:r>
    </w:p>
    <w:p>
      <w:pPr>
        <w:adjustRightInd w:val="0"/>
        <w:snapToGrid w:val="0"/>
        <w:spacing w:line="560" w:lineRule="exact"/>
        <w:ind w:firstLine="626" w:firstLineChars="205"/>
        <w:rPr>
          <w:rFonts w:ascii="仿宋_GB2312"/>
        </w:rPr>
      </w:pPr>
      <w:r>
        <w:rPr>
          <w:rFonts w:hint="eastAsia" w:ascii="仿宋_GB2312"/>
        </w:rPr>
        <w:t>（四）</w:t>
      </w:r>
      <w:r>
        <w:rPr>
          <w:rFonts w:hint="eastAsia" w:ascii="仿宋_GB2312"/>
          <w:snapToGrid w:val="0"/>
        </w:rPr>
        <w:t>严格落实噪音污染防治措施。</w:t>
      </w:r>
      <w:r>
        <w:rPr>
          <w:rFonts w:hint="eastAsia" w:ascii="仿宋_GB2312"/>
        </w:rPr>
        <w:t>该项目运营期间，噪声来自粉碎机、搅拌机、输送机、提升机、磨粉机、制棒机、风机等设备噪声和运输车辆噪声，通过对设备采取消声、减振、加强设备维护保养；对运输车辆加强调度管理、制订合理行进路线等措施，厂界噪声强度达到《工业企业厂界环境噪声排放标准》（</w:t>
      </w:r>
      <w:r>
        <w:rPr>
          <w:rFonts w:ascii="仿宋_GB2312"/>
        </w:rPr>
        <w:t>GB12348-2008</w:t>
      </w:r>
      <w:r>
        <w:rPr>
          <w:rFonts w:hint="eastAsia" w:ascii="仿宋_GB2312"/>
        </w:rPr>
        <w:t>）中</w:t>
      </w:r>
      <w:r>
        <w:rPr>
          <w:rFonts w:ascii="仿宋_GB2312"/>
        </w:rPr>
        <w:t>3</w:t>
      </w:r>
      <w:r>
        <w:rPr>
          <w:rFonts w:hint="eastAsia" w:ascii="仿宋_GB2312"/>
        </w:rPr>
        <w:t>类标准限值（昼间≤</w:t>
      </w:r>
      <w:r>
        <w:rPr>
          <w:rFonts w:ascii="仿宋_GB2312"/>
        </w:rPr>
        <w:t>65dB(A)</w:t>
      </w:r>
      <w:r>
        <w:rPr>
          <w:rFonts w:hint="eastAsia" w:ascii="仿宋_GB2312"/>
        </w:rPr>
        <w:t>，夜间≤</w:t>
      </w:r>
      <w:r>
        <w:rPr>
          <w:rFonts w:ascii="仿宋_GB2312"/>
        </w:rPr>
        <w:t>55dB(A)</w:t>
      </w:r>
      <w:r>
        <w:rPr>
          <w:rFonts w:hint="eastAsia" w:ascii="仿宋_GB2312"/>
        </w:rPr>
        <w:t>）。</w:t>
      </w:r>
    </w:p>
    <w:p>
      <w:pPr>
        <w:pStyle w:val="3"/>
        <w:spacing w:line="560" w:lineRule="exact"/>
        <w:rPr>
          <w:rFonts w:eastAsia="仿宋_GB2312"/>
          <w:sz w:val="32"/>
          <w:szCs w:val="32"/>
        </w:rPr>
      </w:pPr>
      <w:r>
        <w:rPr>
          <w:rFonts w:hint="eastAsia" w:ascii="仿宋_GB2312" w:eastAsia="仿宋_GB2312"/>
          <w:snapToGrid w:val="0"/>
          <w:sz w:val="32"/>
          <w:szCs w:val="32"/>
        </w:rPr>
        <w:t>（五）</w:t>
      </w:r>
      <w:r>
        <w:rPr>
          <w:rFonts w:hint="eastAsia" w:ascii="仿宋_GB2312" w:eastAsia="仿宋_GB2312"/>
          <w:sz w:val="32"/>
          <w:szCs w:val="32"/>
        </w:rPr>
        <w:t>严格落实固体废物分类处置和分类利用措施。项</w:t>
      </w:r>
      <w:r>
        <w:rPr>
          <w:rFonts w:hint="eastAsia" w:eastAsia="仿宋_GB2312"/>
          <w:sz w:val="32"/>
          <w:szCs w:val="32"/>
        </w:rPr>
        <w:t>目固体废物主要为除尘器收集粉尘、废包装材料、废木焦油底泥、脱硫石膏以及生活垃圾。除尘器收集的粉尘回用于生产工序；废包装材料集中收集后，定期外售；脱硫石膏外售给建材厂家进行综合利用；废木焦油底泥和生活垃圾分类收集后交由环卫部门统一处理。</w:t>
      </w:r>
    </w:p>
    <w:p>
      <w:pPr>
        <w:adjustRightInd w:val="0"/>
        <w:snapToGrid w:val="0"/>
        <w:spacing w:line="560" w:lineRule="exact"/>
        <w:ind w:firstLine="630"/>
      </w:pPr>
      <w:r>
        <w:rPr>
          <w:rFonts w:hint="eastAsia"/>
        </w:rPr>
        <w:t>四、你单位须严格执行环保</w:t>
      </w:r>
      <w:r>
        <w:t>“</w:t>
      </w:r>
      <w:r>
        <w:rPr>
          <w:rFonts w:hint="eastAsia"/>
        </w:rPr>
        <w:t>三同时</w:t>
      </w:r>
      <w:r>
        <w:t>”</w:t>
      </w:r>
      <w:r>
        <w:rPr>
          <w:rFonts w:hint="eastAsia"/>
        </w:rPr>
        <w:t>制度，建设项目竣工后，建设单位应当按照国务院环境保护行政主管部门规定的标准和程序，对</w:t>
      </w:r>
      <w:r>
        <w:rPr>
          <w:rFonts w:hint="eastAsia" w:ascii="仿宋_GB2312"/>
        </w:rPr>
        <w:t>配套建设的环境保护设施进行验收，编制验收报告，验收报告编制完成后</w:t>
      </w:r>
      <w:r>
        <w:rPr>
          <w:rFonts w:ascii="仿宋_GB2312"/>
        </w:rPr>
        <w:t>5</w:t>
      </w:r>
      <w:r>
        <w:rPr>
          <w:rFonts w:hint="eastAsia" w:ascii="仿宋_GB2312"/>
        </w:rPr>
        <w:t>个工作日内，在相关网站公开验收报告，公示期限不得少于</w:t>
      </w:r>
      <w:r>
        <w:rPr>
          <w:rFonts w:ascii="仿宋_GB2312"/>
        </w:rPr>
        <w:t>20</w:t>
      </w:r>
      <w:r>
        <w:rPr>
          <w:rFonts w:hint="eastAsia" w:ascii="仿宋_GB2312"/>
        </w:rPr>
        <w:t>个工作日，并向我局报送相关信息；验收报告公示期满后</w:t>
      </w:r>
      <w:r>
        <w:rPr>
          <w:rFonts w:ascii="仿宋_GB2312"/>
        </w:rPr>
        <w:t>5</w:t>
      </w:r>
      <w:r>
        <w:rPr>
          <w:rFonts w:hint="eastAsia" w:ascii="仿宋_GB2312"/>
        </w:rPr>
        <w:t>个工作日内，建设单位应当登录“全国建设项目竣工环境保护验收信息平台”（</w:t>
      </w:r>
      <w:bookmarkStart w:id="0" w:name="_GoBack"/>
      <w:r>
        <w:rPr>
          <w:rFonts w:hint="eastAsia" w:ascii="仿宋_GB2312"/>
        </w:rPr>
        <w:t>网址为</w:t>
      </w:r>
      <w:r>
        <w:rPr>
          <w:rFonts w:ascii="仿宋_GB2312"/>
        </w:rPr>
        <w:t>http://114.251.10.205</w:t>
      </w:r>
      <w:bookmarkEnd w:id="0"/>
      <w:r>
        <w:rPr>
          <w:rFonts w:hint="eastAsia" w:ascii="仿宋_GB2312"/>
        </w:rPr>
        <w:t>），填报建设项目基本信息、环境保护设施验收情况等相关信息。</w:t>
      </w:r>
    </w:p>
    <w:p>
      <w:pPr>
        <w:adjustRightInd w:val="0"/>
        <w:snapToGrid w:val="0"/>
        <w:spacing w:line="560" w:lineRule="exact"/>
        <w:ind w:firstLine="630"/>
        <w:rPr>
          <w:rFonts w:ascii="仿宋_GB2312"/>
        </w:rPr>
      </w:pPr>
      <w:r>
        <w:rPr>
          <w:rFonts w:hint="eastAsia"/>
        </w:rPr>
        <w:t>五、你单位</w:t>
      </w:r>
      <w:r>
        <w:rPr>
          <w:rFonts w:hint="eastAsia" w:ascii="仿宋_GB2312"/>
        </w:rPr>
        <w:t>须严格按照《排污许可证管理暂行规定》要求，在投入生产或使用并产生实际排污行为之前申请领取排污许可证或进行排污登记。</w:t>
      </w:r>
    </w:p>
    <w:p>
      <w:pPr>
        <w:adjustRightInd w:val="0"/>
        <w:snapToGrid w:val="0"/>
        <w:spacing w:line="560" w:lineRule="exact"/>
        <w:ind w:firstLine="630"/>
        <w:rPr>
          <w:rFonts w:ascii="仿宋_GB2312"/>
        </w:rPr>
      </w:pPr>
      <w:r>
        <w:rPr>
          <w:rFonts w:hint="eastAsia" w:ascii="仿宋_GB2312"/>
        </w:rPr>
        <w:t>六、根据《中华人民共和国环境影响评价法》等相关环保法律法规的规定，若项目性质、规模、地点、采用的防治污染、防止生态破坏的措施等发生重大变化的，应依法重新报批环评文件。自批准之日起</w:t>
      </w:r>
      <w:r>
        <w:rPr>
          <w:rFonts w:ascii="仿宋_GB2312"/>
        </w:rPr>
        <w:t>5</w:t>
      </w:r>
      <w:r>
        <w:rPr>
          <w:rFonts w:hint="eastAsia" w:ascii="仿宋_GB2312"/>
        </w:rPr>
        <w:t>年内未开工建设的，其环评文件应当报我局重新审核。在项目建设、运行过程中产生不符合经审批的环评文件情形的，应依法重新办理相关环保手续。</w:t>
      </w:r>
    </w:p>
    <w:p>
      <w:pPr>
        <w:adjustRightInd w:val="0"/>
        <w:snapToGrid w:val="0"/>
        <w:spacing w:line="560" w:lineRule="exact"/>
        <w:ind w:firstLine="610" w:firstLineChars="200"/>
      </w:pPr>
      <w:r>
        <w:rPr>
          <w:rFonts w:hint="eastAsia" w:ascii="仿宋_GB2312"/>
        </w:rPr>
        <w:t>七、十四团按照《关于印发</w:t>
      </w:r>
      <w:r>
        <w:rPr>
          <w:rFonts w:ascii="仿宋_GB2312"/>
        </w:rPr>
        <w:t>&lt;</w:t>
      </w:r>
      <w:r>
        <w:rPr>
          <w:rFonts w:hint="eastAsia" w:ascii="仿宋_GB2312"/>
        </w:rPr>
        <w:t>第一师阿拉尔市生态环境保护工作职责暂行规定（试行）</w:t>
      </w:r>
      <w:r>
        <w:rPr>
          <w:rFonts w:ascii="仿宋_GB2312"/>
        </w:rPr>
        <w:t>&gt;</w:t>
      </w:r>
      <w:r>
        <w:rPr>
          <w:rFonts w:hint="eastAsia" w:ascii="仿宋_GB2312"/>
        </w:rPr>
        <w:t>的通知》（师市环委办发〔</w:t>
      </w:r>
      <w:r>
        <w:rPr>
          <w:rFonts w:ascii="仿宋_GB2312"/>
        </w:rPr>
        <w:t>2020</w:t>
      </w:r>
      <w:r>
        <w:rPr>
          <w:rFonts w:hint="eastAsia" w:ascii="仿宋_GB2312"/>
        </w:rPr>
        <w:t>〕</w:t>
      </w:r>
      <w:r>
        <w:rPr>
          <w:rFonts w:ascii="仿宋_GB2312"/>
        </w:rPr>
        <w:t>1</w:t>
      </w:r>
      <w:r>
        <w:rPr>
          <w:rFonts w:hint="eastAsia" w:ascii="仿宋_GB2312"/>
        </w:rPr>
        <w:t>号）要求，做好该项目环境保护管理工作，师市生态环境保护综合行政执法支队做好该项目的抽查日常监督管理工作</w:t>
      </w:r>
      <w:r>
        <w:rPr>
          <w:rFonts w:hint="eastAsia"/>
        </w:rPr>
        <w:t>。</w:t>
      </w:r>
    </w:p>
    <w:p>
      <w:pPr>
        <w:pStyle w:val="21"/>
        <w:spacing w:line="560" w:lineRule="exact"/>
        <w:jc w:val="both"/>
        <w:rPr>
          <w:rFonts w:ascii="Times New Roman" w:eastAsia="仿宋_GB2312"/>
          <w:color w:val="auto"/>
          <w:sz w:val="32"/>
          <w:szCs w:val="32"/>
        </w:rPr>
      </w:pPr>
    </w:p>
    <w:p>
      <w:pPr>
        <w:pStyle w:val="21"/>
        <w:spacing w:line="560" w:lineRule="exact"/>
        <w:jc w:val="both"/>
        <w:rPr>
          <w:rFonts w:ascii="Times New Roman" w:eastAsia="仿宋_GB2312"/>
          <w:color w:val="auto"/>
          <w:sz w:val="32"/>
          <w:szCs w:val="32"/>
        </w:rPr>
      </w:pPr>
    </w:p>
    <w:p>
      <w:pPr>
        <w:adjustRightInd w:val="0"/>
        <w:snapToGrid w:val="0"/>
        <w:spacing w:line="560" w:lineRule="exact"/>
        <w:ind w:firstLine="4899" w:firstLineChars="1606"/>
        <w:rPr>
          <w:kern w:val="0"/>
        </w:rPr>
      </w:pPr>
      <w:r>
        <w:rPr>
          <w:rFonts w:hint="eastAsia"/>
          <w:kern w:val="0"/>
        </w:rPr>
        <w:t>第一师阿拉尔市生态环境局</w:t>
      </w:r>
    </w:p>
    <w:p>
      <w:pPr>
        <w:adjustRightInd w:val="0"/>
        <w:snapToGrid w:val="0"/>
        <w:spacing w:line="560" w:lineRule="exact"/>
        <w:ind w:right="608" w:firstLine="5532" w:firstLineChars="1814"/>
        <w:rPr>
          <w:kern w:val="0"/>
        </w:rPr>
      </w:pPr>
      <w:r>
        <w:rPr>
          <w:kern w:val="0"/>
        </w:rPr>
        <w:t>2021</w:t>
      </w:r>
      <w:r>
        <w:rPr>
          <w:rFonts w:hint="eastAsia"/>
          <w:kern w:val="0"/>
        </w:rPr>
        <w:t>年</w:t>
      </w:r>
      <w:r>
        <w:rPr>
          <w:kern w:val="0"/>
        </w:rPr>
        <w:t>7</w:t>
      </w:r>
      <w:r>
        <w:rPr>
          <w:rFonts w:hint="eastAsia"/>
          <w:kern w:val="0"/>
        </w:rPr>
        <w:t>月</w:t>
      </w:r>
      <w:r>
        <w:rPr>
          <w:rFonts w:hint="eastAsia"/>
          <w:kern w:val="0"/>
          <w:lang w:val="en-US" w:eastAsia="zh-CN"/>
        </w:rPr>
        <w:t>8</w:t>
      </w:r>
      <w:r>
        <w:rPr>
          <w:rFonts w:hint="eastAsia"/>
          <w:kern w:val="0"/>
        </w:rPr>
        <w:t>日</w:t>
      </w:r>
    </w:p>
    <w:p>
      <w:pPr>
        <w:widowControl/>
        <w:adjustRightInd w:val="0"/>
        <w:snapToGrid w:val="0"/>
        <w:spacing w:line="580" w:lineRule="exact"/>
        <w:ind w:right="608"/>
        <w:rPr>
          <w:rFonts w:ascii="仿宋_GB2312"/>
          <w:kern w:val="0"/>
        </w:rPr>
      </w:pPr>
    </w:p>
    <w:p>
      <w:pPr>
        <w:widowControl/>
        <w:adjustRightInd w:val="0"/>
        <w:snapToGrid w:val="0"/>
        <w:spacing w:line="560" w:lineRule="exact"/>
        <w:ind w:right="608"/>
        <w:rPr>
          <w:rFonts w:ascii="仿宋_GB2312"/>
          <w:kern w:val="0"/>
        </w:rPr>
      </w:pPr>
    </w:p>
    <w:p>
      <w:pPr>
        <w:pStyle w:val="21"/>
        <w:rPr>
          <w:color w:val="auto"/>
        </w:rPr>
      </w:pPr>
    </w:p>
    <w:p>
      <w:pPr>
        <w:pStyle w:val="21"/>
        <w:rPr>
          <w:color w:val="auto"/>
        </w:rPr>
      </w:pPr>
    </w:p>
    <w:p>
      <w:pPr>
        <w:pStyle w:val="21"/>
        <w:rPr>
          <w:color w:val="auto"/>
        </w:rPr>
      </w:pPr>
    </w:p>
    <w:p>
      <w:pPr>
        <w:pStyle w:val="21"/>
        <w:rPr>
          <w:color w:val="auto"/>
        </w:rPr>
      </w:pPr>
    </w:p>
    <w:p>
      <w:pPr>
        <w:pStyle w:val="21"/>
        <w:rPr>
          <w:color w:val="auto"/>
        </w:rPr>
      </w:pPr>
    </w:p>
    <w:p>
      <w:pPr>
        <w:pStyle w:val="21"/>
        <w:rPr>
          <w:color w:val="auto"/>
        </w:rPr>
      </w:pPr>
    </w:p>
    <w:p>
      <w:pPr>
        <w:widowControl/>
        <w:adjustRightInd w:val="0"/>
        <w:snapToGrid w:val="0"/>
        <w:spacing w:line="560" w:lineRule="exact"/>
        <w:ind w:right="608"/>
      </w:pPr>
    </w:p>
    <w:p>
      <w:pPr>
        <w:widowControl/>
        <w:adjustRightInd w:val="0"/>
        <w:snapToGrid w:val="0"/>
        <w:spacing w:line="560" w:lineRule="exact"/>
        <w:ind w:right="608"/>
      </w:pPr>
      <w:r>
        <w:pict>
          <v:line id="_x0000_s1028" o:spid="_x0000_s1028" o:spt="20" style="position:absolute;left:0pt;margin-left:-0.35pt;margin-top:23.85pt;height:0pt;width:443.55pt;z-index:251660288;mso-width-relative:page;mso-height-relative:page;" coordsize="21600,21600">
            <v:path arrowok="t"/>
            <v:fill focussize="0,0"/>
            <v:stroke weight="1.5pt"/>
            <v:imagedata o:title=""/>
            <o:lock v:ext="edit"/>
          </v:line>
        </w:pict>
      </w:r>
    </w:p>
    <w:p>
      <w:pPr>
        <w:widowControl/>
        <w:adjustRightInd w:val="0"/>
        <w:snapToGrid w:val="0"/>
        <w:spacing w:line="560" w:lineRule="exact"/>
        <w:ind w:right="608"/>
        <w:rPr>
          <w:spacing w:val="-6"/>
          <w:sz w:val="28"/>
          <w:szCs w:val="28"/>
        </w:rPr>
      </w:pPr>
      <w:r>
        <w:pict>
          <v:line id="_x0000_s1029" o:spid="_x0000_s1029" o:spt="20" style="position:absolute;left:0pt;margin-left:0pt;margin-top:53pt;height:0pt;width:443.55pt;z-index:251662336;mso-width-relative:page;mso-height-relative:page;" coordsize="21600,21600">
            <v:path arrowok="t"/>
            <v:fill focussize="0,0"/>
            <v:stroke/>
            <v:imagedata o:title=""/>
            <o:lock v:ext="edit"/>
          </v:line>
        </w:pict>
      </w:r>
      <w:r>
        <w:rPr>
          <w:rFonts w:hint="eastAsia"/>
          <w:sz w:val="28"/>
          <w:szCs w:val="28"/>
        </w:rPr>
        <w:t>抄送：</w:t>
      </w:r>
      <w:r>
        <w:rPr>
          <w:rFonts w:hint="eastAsia"/>
          <w:w w:val="95"/>
          <w:sz w:val="28"/>
          <w:szCs w:val="28"/>
        </w:rPr>
        <w:t>师市相关领导，发改委、自然资源和规划局、十四团、</w:t>
      </w:r>
      <w:r>
        <w:rPr>
          <w:rFonts w:hint="eastAsia"/>
          <w:spacing w:val="-6"/>
          <w:w w:val="95"/>
          <w:sz w:val="28"/>
          <w:szCs w:val="28"/>
        </w:rPr>
        <w:t>生态环境保护综合行政执法支队、新疆鑫旺德盛土地环境工程有限公司。</w:t>
      </w:r>
    </w:p>
    <w:p>
      <w:pPr>
        <w:tabs>
          <w:tab w:val="left" w:pos="312"/>
        </w:tabs>
        <w:spacing w:line="560" w:lineRule="exact"/>
      </w:pPr>
      <w:r>
        <w:pict>
          <v:line id="_x0000_s1030" o:spid="_x0000_s1030" o:spt="20" style="position:absolute;left:0pt;margin-left:-0.85pt;margin-top:30.75pt;height:0pt;width:443.55pt;z-index:251661312;mso-width-relative:page;mso-height-relative:page;" coordsize="21600,21600">
            <v:path arrowok="t"/>
            <v:fill focussize="0,0"/>
            <v:stroke weight="1.5pt"/>
            <v:imagedata o:title=""/>
            <o:lock v:ext="edit"/>
          </v:line>
        </w:pict>
      </w:r>
      <w:r>
        <w:rPr>
          <w:rFonts w:hint="eastAsia"/>
          <w:sz w:val="28"/>
          <w:szCs w:val="28"/>
        </w:rPr>
        <w:t>第一师阿拉尔市生态环境局</w:t>
      </w:r>
      <w:r>
        <w:rPr>
          <w:sz w:val="28"/>
          <w:szCs w:val="28"/>
        </w:rPr>
        <w:t xml:space="preserve">                        2021</w:t>
      </w:r>
      <w:r>
        <w:rPr>
          <w:rFonts w:hint="eastAsia"/>
          <w:sz w:val="28"/>
          <w:szCs w:val="28"/>
        </w:rPr>
        <w:t>年</w:t>
      </w:r>
      <w:r>
        <w:rPr>
          <w:sz w:val="28"/>
          <w:szCs w:val="28"/>
        </w:rPr>
        <w:t>7</w:t>
      </w:r>
      <w:r>
        <w:rPr>
          <w:rFonts w:hint="eastAsia"/>
          <w:sz w:val="28"/>
          <w:szCs w:val="28"/>
        </w:rPr>
        <w:t>月</w:t>
      </w:r>
      <w:r>
        <w:rPr>
          <w:rFonts w:hint="eastAsia"/>
          <w:sz w:val="28"/>
          <w:szCs w:val="28"/>
          <w:lang w:val="en-US" w:eastAsia="zh-CN"/>
        </w:rPr>
        <w:t>8</w:t>
      </w:r>
      <w:r>
        <w:rPr>
          <w:rFonts w:hint="eastAsia"/>
          <w:sz w:val="28"/>
          <w:szCs w:val="28"/>
        </w:rPr>
        <w:t>日印发</w:t>
      </w:r>
    </w:p>
    <w:sectPr>
      <w:headerReference r:id="rId3" w:type="default"/>
      <w:footerReference r:id="rId4" w:type="default"/>
      <w:footerReference r:id="rId5" w:type="even"/>
      <w:pgSz w:w="11906" w:h="16838"/>
      <w:pgMar w:top="2098" w:right="1474" w:bottom="1984" w:left="1587" w:header="2098" w:footer="1985" w:gutter="0"/>
      <w:cols w:space="720" w:num="1"/>
      <w:docGrid w:type="linesAndChars" w:linePitch="604" w:charSpace="-32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ascii="仿宋_GB2312"/>
        <w:sz w:val="28"/>
        <w:szCs w:val="28"/>
      </w:rPr>
    </w:pPr>
    <w:r>
      <w:pict>
        <v:shape id="文本框 5" o:spid="_x0000_s2049" o:spt="202" type="#_x0000_t202" style="position:absolute;left:0pt;margin-top:0pt;height:18.15pt;width:63.05pt;mso-position-horizontal:outside;mso-position-horizontal-relative:margin;mso-wrap-style:none;z-index:25166336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">
          <v:path arrowok="t"/>
          <v:fill on="f" focussize="0,0"/>
          <v:stroke on="f" joinstyle="miter"/>
          <v:imagedata o:title=""/>
          <o:lock v:ext="edit"/>
          <v:textbox inset="0mm,0mm,0mm,0mm" style="mso-fit-shape-to-text:t;">
            <w:txbxContent>
              <w:p>
                <w:pPr>
                  <w:pStyle w:val="7"/>
                  <w:wordWrap w:val="0"/>
                  <w:jc w:val="right"/>
                </w:pPr>
                <w:r>
                  <w:rPr>
                    <w:rFonts w:ascii="仿宋_GB2312"/>
                    <w:kern w:val="0"/>
                    <w:sz w:val="28"/>
                    <w:szCs w:val="28"/>
                  </w:rPr>
                  <w:t xml:space="preserve">— </w:t>
                </w:r>
                <w:r>
                  <w:rPr>
                    <w:rFonts w:ascii="仿宋_GB2312"/>
                    <w:kern w:val="0"/>
                    <w:sz w:val="28"/>
                    <w:szCs w:val="28"/>
                  </w:rPr>
                  <w:fldChar w:fldCharType="begin"/>
                </w:r>
                <w:r>
                  <w:rPr>
                    <w:rFonts w:ascii="仿宋_GB2312"/>
                    <w:kern w:val="0"/>
                    <w:sz w:val="28"/>
                    <w:szCs w:val="28"/>
                  </w:rPr>
                  <w:instrText xml:space="preserve"> PAGE </w:instrText>
                </w:r>
                <w:r>
                  <w:rPr>
                    <w:rFonts w:ascii="仿宋_GB2312"/>
                    <w:kern w:val="0"/>
                    <w:sz w:val="28"/>
                    <w:szCs w:val="28"/>
                  </w:rPr>
                  <w:fldChar w:fldCharType="separate"/>
                </w:r>
                <w:r>
                  <w:rPr>
                    <w:rFonts w:ascii="仿宋_GB2312"/>
                    <w:kern w:val="0"/>
                    <w:sz w:val="28"/>
                    <w:szCs w:val="28"/>
                  </w:rPr>
                  <w:t>5</w:t>
                </w:r>
                <w:r>
                  <w:rPr>
                    <w:rFonts w:ascii="仿宋_GB2312"/>
                    <w:kern w:val="0"/>
                    <w:sz w:val="28"/>
                    <w:szCs w:val="28"/>
                  </w:rPr>
                  <w:fldChar w:fldCharType="end"/>
                </w:r>
                <w:r>
                  <w:rPr>
                    <w:rFonts w:ascii="仿宋_GB2312"/>
                    <w:kern w:val="0"/>
                    <w:sz w:val="28"/>
                    <w:szCs w:val="28"/>
                  </w:rPr>
                  <w:t xml:space="preserve"> —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80" w:firstLineChars="100"/>
      <w:rPr>
        <w:rFonts w:ascii="仿宋_GB2312"/>
        <w:sz w:val="28"/>
        <w:szCs w:val="28"/>
      </w:rPr>
    </w:pPr>
    <w:r>
      <w:rPr>
        <w:rFonts w:ascii="仿宋_GB2312"/>
        <w:sz w:val="28"/>
        <w:szCs w:val="28"/>
      </w:rPr>
      <w:t xml:space="preserve">— </w:t>
    </w:r>
    <w:r>
      <w:rPr>
        <w:rStyle w:val="12"/>
        <w:rFonts w:ascii="仿宋_GB2312"/>
        <w:sz w:val="28"/>
        <w:szCs w:val="28"/>
      </w:rPr>
      <w:fldChar w:fldCharType="begin"/>
    </w:r>
    <w:r>
      <w:rPr>
        <w:rStyle w:val="12"/>
        <w:rFonts w:ascii="仿宋_GB2312"/>
        <w:sz w:val="28"/>
        <w:szCs w:val="28"/>
      </w:rPr>
      <w:instrText xml:space="preserve"> PAGE </w:instrText>
    </w:r>
    <w:r>
      <w:rPr>
        <w:rStyle w:val="12"/>
        <w:rFonts w:ascii="仿宋_GB2312"/>
        <w:sz w:val="28"/>
        <w:szCs w:val="28"/>
      </w:rPr>
      <w:fldChar w:fldCharType="separate"/>
    </w:r>
    <w:r>
      <w:rPr>
        <w:rStyle w:val="12"/>
        <w:rFonts w:ascii="仿宋_GB2312"/>
        <w:sz w:val="28"/>
        <w:szCs w:val="28"/>
      </w:rPr>
      <w:t>4</w:t>
    </w:r>
    <w:r>
      <w:rPr>
        <w:rStyle w:val="12"/>
        <w:rFonts w:ascii="仿宋_GB2312"/>
        <w:sz w:val="28"/>
        <w:szCs w:val="28"/>
      </w:rPr>
      <w:fldChar w:fldCharType="end"/>
    </w:r>
    <w:r>
      <w:rPr>
        <w:rFonts w:ascii="仿宋_GB2312"/>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39B50D7"/>
    <w:rsid w:val="00011831"/>
    <w:rsid w:val="00016BDE"/>
    <w:rsid w:val="000371A3"/>
    <w:rsid w:val="00046744"/>
    <w:rsid w:val="00076AC7"/>
    <w:rsid w:val="000B29BE"/>
    <w:rsid w:val="000C1FEB"/>
    <w:rsid w:val="000E325E"/>
    <w:rsid w:val="000F29BA"/>
    <w:rsid w:val="000F3713"/>
    <w:rsid w:val="001024C7"/>
    <w:rsid w:val="00114C87"/>
    <w:rsid w:val="0012508A"/>
    <w:rsid w:val="0012694C"/>
    <w:rsid w:val="00131AD2"/>
    <w:rsid w:val="00153A00"/>
    <w:rsid w:val="00154517"/>
    <w:rsid w:val="001551FA"/>
    <w:rsid w:val="0016165C"/>
    <w:rsid w:val="001A5BEC"/>
    <w:rsid w:val="001F103C"/>
    <w:rsid w:val="00215949"/>
    <w:rsid w:val="0023053E"/>
    <w:rsid w:val="00233ED0"/>
    <w:rsid w:val="00237E4E"/>
    <w:rsid w:val="002551F6"/>
    <w:rsid w:val="002B19C8"/>
    <w:rsid w:val="00317B19"/>
    <w:rsid w:val="00337790"/>
    <w:rsid w:val="0034053C"/>
    <w:rsid w:val="00341A3F"/>
    <w:rsid w:val="003A1ECA"/>
    <w:rsid w:val="003B4316"/>
    <w:rsid w:val="003E264B"/>
    <w:rsid w:val="003F3A9F"/>
    <w:rsid w:val="003F7EA3"/>
    <w:rsid w:val="00416442"/>
    <w:rsid w:val="00425EFB"/>
    <w:rsid w:val="00431C00"/>
    <w:rsid w:val="00442C60"/>
    <w:rsid w:val="004515F3"/>
    <w:rsid w:val="00464734"/>
    <w:rsid w:val="0047320C"/>
    <w:rsid w:val="00482A2E"/>
    <w:rsid w:val="00487AC4"/>
    <w:rsid w:val="00487B15"/>
    <w:rsid w:val="004910BD"/>
    <w:rsid w:val="004C21F7"/>
    <w:rsid w:val="00503047"/>
    <w:rsid w:val="00505E5A"/>
    <w:rsid w:val="0053369E"/>
    <w:rsid w:val="005344D3"/>
    <w:rsid w:val="00540B34"/>
    <w:rsid w:val="00544ABA"/>
    <w:rsid w:val="00551B74"/>
    <w:rsid w:val="005556DA"/>
    <w:rsid w:val="00574966"/>
    <w:rsid w:val="00577B34"/>
    <w:rsid w:val="00581939"/>
    <w:rsid w:val="005832F6"/>
    <w:rsid w:val="005A0EF4"/>
    <w:rsid w:val="005A5500"/>
    <w:rsid w:val="005F531A"/>
    <w:rsid w:val="00603A46"/>
    <w:rsid w:val="0061114B"/>
    <w:rsid w:val="00614B83"/>
    <w:rsid w:val="00620F66"/>
    <w:rsid w:val="0065161D"/>
    <w:rsid w:val="00673B2D"/>
    <w:rsid w:val="006A13E9"/>
    <w:rsid w:val="006B31F0"/>
    <w:rsid w:val="006C14B9"/>
    <w:rsid w:val="006C393F"/>
    <w:rsid w:val="006D1625"/>
    <w:rsid w:val="006D69B8"/>
    <w:rsid w:val="006D7837"/>
    <w:rsid w:val="006F4B4E"/>
    <w:rsid w:val="0070576E"/>
    <w:rsid w:val="00721120"/>
    <w:rsid w:val="007408F1"/>
    <w:rsid w:val="00741BBD"/>
    <w:rsid w:val="00760B26"/>
    <w:rsid w:val="0076609C"/>
    <w:rsid w:val="00772842"/>
    <w:rsid w:val="00792C1E"/>
    <w:rsid w:val="00795318"/>
    <w:rsid w:val="007A3258"/>
    <w:rsid w:val="007F26DF"/>
    <w:rsid w:val="008178AA"/>
    <w:rsid w:val="00862955"/>
    <w:rsid w:val="0087551A"/>
    <w:rsid w:val="008908B8"/>
    <w:rsid w:val="008925A7"/>
    <w:rsid w:val="00894FE9"/>
    <w:rsid w:val="008A45AC"/>
    <w:rsid w:val="008B2619"/>
    <w:rsid w:val="008B5513"/>
    <w:rsid w:val="008D5E8C"/>
    <w:rsid w:val="008E449D"/>
    <w:rsid w:val="009134D0"/>
    <w:rsid w:val="00935F21"/>
    <w:rsid w:val="00937EBE"/>
    <w:rsid w:val="009417EA"/>
    <w:rsid w:val="00950B43"/>
    <w:rsid w:val="00955825"/>
    <w:rsid w:val="00975880"/>
    <w:rsid w:val="00984FE2"/>
    <w:rsid w:val="009A474F"/>
    <w:rsid w:val="009B630A"/>
    <w:rsid w:val="009B7234"/>
    <w:rsid w:val="009C6C38"/>
    <w:rsid w:val="009D32CE"/>
    <w:rsid w:val="009E5F9B"/>
    <w:rsid w:val="009E6FE1"/>
    <w:rsid w:val="009F5ADD"/>
    <w:rsid w:val="00A00B4F"/>
    <w:rsid w:val="00A040C4"/>
    <w:rsid w:val="00A34128"/>
    <w:rsid w:val="00A4697E"/>
    <w:rsid w:val="00A53952"/>
    <w:rsid w:val="00A56867"/>
    <w:rsid w:val="00A771AA"/>
    <w:rsid w:val="00A8495D"/>
    <w:rsid w:val="00A95CE8"/>
    <w:rsid w:val="00A972A1"/>
    <w:rsid w:val="00A97B8E"/>
    <w:rsid w:val="00AF32C1"/>
    <w:rsid w:val="00B40549"/>
    <w:rsid w:val="00B45C79"/>
    <w:rsid w:val="00B5181D"/>
    <w:rsid w:val="00B57376"/>
    <w:rsid w:val="00B57CC4"/>
    <w:rsid w:val="00B714FA"/>
    <w:rsid w:val="00B7557F"/>
    <w:rsid w:val="00B868B0"/>
    <w:rsid w:val="00BA5CB4"/>
    <w:rsid w:val="00BB55EE"/>
    <w:rsid w:val="00BC53EC"/>
    <w:rsid w:val="00BC58C6"/>
    <w:rsid w:val="00BD7E9D"/>
    <w:rsid w:val="00BE053C"/>
    <w:rsid w:val="00BE2752"/>
    <w:rsid w:val="00C173C9"/>
    <w:rsid w:val="00C17EEF"/>
    <w:rsid w:val="00C21A9D"/>
    <w:rsid w:val="00C25A44"/>
    <w:rsid w:val="00C43A2D"/>
    <w:rsid w:val="00C6179C"/>
    <w:rsid w:val="00C7358A"/>
    <w:rsid w:val="00C76866"/>
    <w:rsid w:val="00C81CA0"/>
    <w:rsid w:val="00C83EEA"/>
    <w:rsid w:val="00C85AC4"/>
    <w:rsid w:val="00C904F3"/>
    <w:rsid w:val="00CC59E6"/>
    <w:rsid w:val="00CD6E36"/>
    <w:rsid w:val="00CE0D68"/>
    <w:rsid w:val="00D033F3"/>
    <w:rsid w:val="00D0530B"/>
    <w:rsid w:val="00D2283C"/>
    <w:rsid w:val="00D33762"/>
    <w:rsid w:val="00D51444"/>
    <w:rsid w:val="00D62111"/>
    <w:rsid w:val="00D71B85"/>
    <w:rsid w:val="00D873FC"/>
    <w:rsid w:val="00D92561"/>
    <w:rsid w:val="00D95D1D"/>
    <w:rsid w:val="00DA60A1"/>
    <w:rsid w:val="00DA673D"/>
    <w:rsid w:val="00DB0843"/>
    <w:rsid w:val="00DC1B01"/>
    <w:rsid w:val="00DC1F30"/>
    <w:rsid w:val="00E17076"/>
    <w:rsid w:val="00E36172"/>
    <w:rsid w:val="00E57F41"/>
    <w:rsid w:val="00EC2B80"/>
    <w:rsid w:val="00EC4756"/>
    <w:rsid w:val="00EC60E6"/>
    <w:rsid w:val="00ED7DA8"/>
    <w:rsid w:val="00EE1A31"/>
    <w:rsid w:val="00EE2CDD"/>
    <w:rsid w:val="00F02ACA"/>
    <w:rsid w:val="00F0751F"/>
    <w:rsid w:val="00F13DF2"/>
    <w:rsid w:val="00F244FF"/>
    <w:rsid w:val="00F265FD"/>
    <w:rsid w:val="00F31E4D"/>
    <w:rsid w:val="00F3491A"/>
    <w:rsid w:val="00F62CBA"/>
    <w:rsid w:val="00F75B10"/>
    <w:rsid w:val="00F77FF5"/>
    <w:rsid w:val="00FA6A0E"/>
    <w:rsid w:val="00FA7B35"/>
    <w:rsid w:val="00FD351C"/>
    <w:rsid w:val="00FD3797"/>
    <w:rsid w:val="00FE2B06"/>
    <w:rsid w:val="00FF1A9F"/>
    <w:rsid w:val="05626AB9"/>
    <w:rsid w:val="08811A5C"/>
    <w:rsid w:val="131C60C1"/>
    <w:rsid w:val="17824F77"/>
    <w:rsid w:val="1AF44BD8"/>
    <w:rsid w:val="1C925930"/>
    <w:rsid w:val="21117E68"/>
    <w:rsid w:val="211667CB"/>
    <w:rsid w:val="239B50D7"/>
    <w:rsid w:val="23B3436E"/>
    <w:rsid w:val="26FE7F0A"/>
    <w:rsid w:val="275746DD"/>
    <w:rsid w:val="31B5299E"/>
    <w:rsid w:val="32E10D6E"/>
    <w:rsid w:val="342C2E72"/>
    <w:rsid w:val="35621FD3"/>
    <w:rsid w:val="44FC29CD"/>
    <w:rsid w:val="46022F6A"/>
    <w:rsid w:val="480D4698"/>
    <w:rsid w:val="508D765E"/>
    <w:rsid w:val="51D0261B"/>
    <w:rsid w:val="5305681F"/>
    <w:rsid w:val="5B89010B"/>
    <w:rsid w:val="5CD25C98"/>
    <w:rsid w:val="5DDE0B07"/>
    <w:rsid w:val="60182BAD"/>
    <w:rsid w:val="6105263C"/>
    <w:rsid w:val="62833D3F"/>
    <w:rsid w:val="6473131D"/>
    <w:rsid w:val="65281682"/>
    <w:rsid w:val="67174DA4"/>
    <w:rsid w:val="67804C34"/>
    <w:rsid w:val="68524048"/>
    <w:rsid w:val="734B05C2"/>
    <w:rsid w:val="7414378F"/>
    <w:rsid w:val="781243EC"/>
    <w:rsid w:val="78165F38"/>
    <w:rsid w:val="7E24255E"/>
    <w:rsid w:val="7F1B59B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0" w:semiHidden="0" w:name="Plain Text" w:locked="1"/>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99" w:semiHidden="0" w:name="Balloon Text"/>
    <w:lsdException w:unhideWhenUsed="0" w:uiPriority="5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1">
    <w:name w:val="Default Paragraph Font"/>
    <w:semiHidden/>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qFormat/>
    <w:uiPriority w:val="99"/>
    <w:pPr>
      <w:spacing w:after="120"/>
    </w:pPr>
    <w:rPr>
      <w:rFonts w:eastAsia="宋体"/>
    </w:rPr>
  </w:style>
  <w:style w:type="paragraph" w:styleId="3">
    <w:name w:val="Normal Indent"/>
    <w:basedOn w:val="1"/>
    <w:qFormat/>
    <w:uiPriority w:val="99"/>
    <w:pPr>
      <w:spacing w:line="520" w:lineRule="exact"/>
      <w:ind w:firstLine="624"/>
    </w:pPr>
    <w:rPr>
      <w:rFonts w:eastAsia="宋体"/>
      <w:sz w:val="28"/>
      <w:szCs w:val="20"/>
    </w:rPr>
  </w:style>
  <w:style w:type="paragraph" w:styleId="4">
    <w:name w:val="annotation text"/>
    <w:basedOn w:val="1"/>
    <w:link w:val="15"/>
    <w:qFormat/>
    <w:uiPriority w:val="99"/>
    <w:pPr>
      <w:jc w:val="left"/>
    </w:pPr>
  </w:style>
  <w:style w:type="paragraph" w:styleId="5">
    <w:name w:val="Body Text Indent"/>
    <w:basedOn w:val="1"/>
    <w:link w:val="16"/>
    <w:qFormat/>
    <w:uiPriority w:val="99"/>
    <w:pPr>
      <w:spacing w:after="120"/>
      <w:ind w:left="420" w:leftChars="200"/>
    </w:pPr>
  </w:style>
  <w:style w:type="paragraph" w:styleId="6">
    <w:name w:val="Balloon Text"/>
    <w:basedOn w:val="1"/>
    <w:link w:val="17"/>
    <w:qFormat/>
    <w:uiPriority w:val="99"/>
    <w:rPr>
      <w:sz w:val="18"/>
      <w:szCs w:val="18"/>
    </w:rPr>
  </w:style>
  <w:style w:type="paragraph" w:styleId="7">
    <w:name w:val="footer"/>
    <w:basedOn w:val="1"/>
    <w:link w:val="18"/>
    <w:qFormat/>
    <w:uiPriority w:val="99"/>
    <w:pPr>
      <w:tabs>
        <w:tab w:val="center" w:pos="4153"/>
        <w:tab w:val="right" w:pos="8306"/>
      </w:tabs>
      <w:snapToGrid w:val="0"/>
      <w:jc w:val="left"/>
    </w:pPr>
    <w:rPr>
      <w:sz w:val="18"/>
      <w:szCs w:val="18"/>
    </w:rPr>
  </w:style>
  <w:style w:type="paragraph" w:styleId="8">
    <w:name w:val="header"/>
    <w:basedOn w:val="1"/>
    <w:link w:val="19"/>
    <w:qFormat/>
    <w:uiPriority w:val="99"/>
    <w:pPr>
      <w:pBdr>
        <w:bottom w:val="thickThinSmallGap" w:color="auto" w:sz="24" w:space="1"/>
      </w:pBdr>
      <w:tabs>
        <w:tab w:val="center" w:pos="4153"/>
        <w:tab w:val="right" w:pos="8306"/>
      </w:tabs>
      <w:snapToGrid w:val="0"/>
      <w:jc w:val="center"/>
    </w:pPr>
    <w:rPr>
      <w:sz w:val="24"/>
      <w:szCs w:val="18"/>
    </w:rPr>
  </w:style>
  <w:style w:type="paragraph" w:styleId="9">
    <w:name w:val="annotation subject"/>
    <w:basedOn w:val="4"/>
    <w:next w:val="4"/>
    <w:link w:val="20"/>
    <w:qFormat/>
    <w:uiPriority w:val="99"/>
    <w:rPr>
      <w:b/>
      <w:bCs/>
    </w:rPr>
  </w:style>
  <w:style w:type="character" w:styleId="12">
    <w:name w:val="page number"/>
    <w:basedOn w:val="11"/>
    <w:qFormat/>
    <w:uiPriority w:val="99"/>
    <w:rPr>
      <w:rFonts w:cs="Times New Roman"/>
    </w:rPr>
  </w:style>
  <w:style w:type="character" w:styleId="13">
    <w:name w:val="annotation reference"/>
    <w:basedOn w:val="11"/>
    <w:qFormat/>
    <w:uiPriority w:val="99"/>
    <w:rPr>
      <w:rFonts w:cs="Times New Roman"/>
      <w:sz w:val="21"/>
      <w:szCs w:val="21"/>
    </w:rPr>
  </w:style>
  <w:style w:type="character" w:customStyle="1" w:styleId="14">
    <w:name w:val="Body Text Char"/>
    <w:basedOn w:val="11"/>
    <w:link w:val="2"/>
    <w:semiHidden/>
    <w:qFormat/>
    <w:uiPriority w:val="99"/>
    <w:rPr>
      <w:rFonts w:eastAsia="仿宋_GB2312"/>
      <w:sz w:val="32"/>
      <w:szCs w:val="32"/>
    </w:rPr>
  </w:style>
  <w:style w:type="character" w:customStyle="1" w:styleId="15">
    <w:name w:val="Comment Text Char"/>
    <w:basedOn w:val="11"/>
    <w:link w:val="4"/>
    <w:qFormat/>
    <w:locked/>
    <w:uiPriority w:val="99"/>
    <w:rPr>
      <w:rFonts w:eastAsia="仿宋_GB2312" w:cs="Times New Roman"/>
      <w:kern w:val="2"/>
      <w:sz w:val="32"/>
      <w:szCs w:val="32"/>
    </w:rPr>
  </w:style>
  <w:style w:type="character" w:customStyle="1" w:styleId="16">
    <w:name w:val="Body Text Indent Char"/>
    <w:basedOn w:val="11"/>
    <w:link w:val="5"/>
    <w:qFormat/>
    <w:locked/>
    <w:uiPriority w:val="99"/>
    <w:rPr>
      <w:rFonts w:eastAsia="仿宋_GB2312" w:cs="Times New Roman"/>
      <w:kern w:val="2"/>
      <w:sz w:val="32"/>
      <w:szCs w:val="32"/>
    </w:rPr>
  </w:style>
  <w:style w:type="character" w:customStyle="1" w:styleId="17">
    <w:name w:val="Balloon Text Char"/>
    <w:basedOn w:val="11"/>
    <w:link w:val="6"/>
    <w:qFormat/>
    <w:locked/>
    <w:uiPriority w:val="99"/>
    <w:rPr>
      <w:rFonts w:eastAsia="仿宋_GB2312" w:cs="Times New Roman"/>
      <w:kern w:val="2"/>
      <w:sz w:val="18"/>
      <w:szCs w:val="18"/>
    </w:rPr>
  </w:style>
  <w:style w:type="character" w:customStyle="1" w:styleId="18">
    <w:name w:val="Footer Char"/>
    <w:basedOn w:val="11"/>
    <w:link w:val="7"/>
    <w:semiHidden/>
    <w:qFormat/>
    <w:uiPriority w:val="99"/>
    <w:rPr>
      <w:rFonts w:eastAsia="仿宋_GB2312"/>
      <w:sz w:val="18"/>
      <w:szCs w:val="18"/>
    </w:rPr>
  </w:style>
  <w:style w:type="character" w:customStyle="1" w:styleId="19">
    <w:name w:val="Header Char"/>
    <w:basedOn w:val="11"/>
    <w:link w:val="8"/>
    <w:semiHidden/>
    <w:qFormat/>
    <w:uiPriority w:val="99"/>
    <w:rPr>
      <w:rFonts w:eastAsia="仿宋_GB2312"/>
      <w:sz w:val="18"/>
      <w:szCs w:val="18"/>
    </w:rPr>
  </w:style>
  <w:style w:type="character" w:customStyle="1" w:styleId="20">
    <w:name w:val="Comment Subject Char"/>
    <w:basedOn w:val="15"/>
    <w:link w:val="9"/>
    <w:qFormat/>
    <w:locked/>
    <w:uiPriority w:val="99"/>
    <w:rPr>
      <w:b/>
      <w:bCs/>
    </w:rPr>
  </w:style>
  <w:style w:type="paragraph" w:customStyle="1" w:styleId="21">
    <w:name w:val="Default"/>
    <w:basedOn w:val="1"/>
    <w:qFormat/>
    <w:uiPriority w:val="99"/>
    <w:pPr>
      <w:autoSpaceDE w:val="0"/>
      <w:autoSpaceDN w:val="0"/>
      <w:jc w:val="left"/>
    </w:pPr>
    <w:rPr>
      <w:rFonts w:ascii="宋体" w:eastAsia="宋体"/>
      <w:color w:val="000000"/>
      <w:kern w:val="0"/>
      <w:sz w:val="24"/>
      <w:szCs w:val="24"/>
    </w:rPr>
  </w:style>
  <w:style w:type="paragraph" w:customStyle="1" w:styleId="22">
    <w:name w:val="表内文字"/>
    <w:basedOn w:val="1"/>
    <w:qFormat/>
    <w:uiPriority w:val="99"/>
    <w:pPr>
      <w:widowControl/>
      <w:adjustRightInd w:val="0"/>
      <w:snapToGrid w:val="0"/>
      <w:spacing w:line="240" w:lineRule="atLeast"/>
      <w:jc w:val="center"/>
    </w:pPr>
    <w:rPr>
      <w:rFonts w:eastAsia="宋体"/>
      <w:kern w:val="0"/>
      <w:sz w:val="21"/>
      <w:szCs w:val="20"/>
    </w:rPr>
  </w:style>
  <w:style w:type="paragraph" w:customStyle="1" w:styleId="23">
    <w:name w:val="9"/>
    <w:basedOn w:val="1"/>
    <w:qFormat/>
    <w:uiPriority w:val="99"/>
    <w:pPr>
      <w:spacing w:line="460" w:lineRule="exact"/>
      <w:ind w:firstLine="480" w:firstLineChars="200"/>
    </w:pPr>
    <w:rPr>
      <w:rFonts w:ascii="宋体" w:hAnsi="宋体" w:eastAsia="宋体"/>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6</Pages>
  <Words>446</Words>
  <Characters>2546</Characters>
  <Lines>0</Lines>
  <Paragraphs>0</Paragraphs>
  <TotalTime>12</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2021-07-06T07:54:00Z</dcterms:created>
  <dc:creator>Administrator</dc:creator>
  <cp:lastModifiedBy>陌</cp:lastModifiedBy>
  <cp:lastPrinted>2021-07-09T11:28:05Z</cp:lastPrinted>
  <dcterms:modified xsi:type="dcterms:W3CDTF">2021-07-09T11:51:24Z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D225040A6BE1430DAFE270F9393E9945</vt:lpwstr>
  </property>
</Properties>
</file>