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44"/>
          <w:szCs w:val="44"/>
        </w:rPr>
      </w:pPr>
    </w:p>
    <w:p>
      <w:pPr>
        <w:pStyle w:val="7"/>
        <w:rPr>
          <w:sz w:val="44"/>
          <w:szCs w:val="44"/>
        </w:rPr>
      </w:pPr>
    </w:p>
    <w:p>
      <w:pPr>
        <w:spacing w:line="560" w:lineRule="exact"/>
        <w:rPr>
          <w:sz w:val="44"/>
          <w:szCs w:val="44"/>
        </w:rPr>
      </w:pPr>
    </w:p>
    <w:p>
      <w:pPr>
        <w:spacing w:line="560" w:lineRule="exact"/>
        <w:rPr>
          <w:sz w:val="44"/>
          <w:szCs w:val="44"/>
        </w:rPr>
      </w:pPr>
    </w:p>
    <w:p>
      <w:pPr>
        <w:pStyle w:val="19"/>
        <w:rPr>
          <w:sz w:val="44"/>
          <w:szCs w:val="44"/>
        </w:rPr>
      </w:pPr>
    </w:p>
    <w:p>
      <w:pPr>
        <w:pStyle w:val="19"/>
        <w:rPr>
          <w:sz w:val="44"/>
          <w:szCs w:val="44"/>
        </w:rPr>
      </w:pPr>
    </w:p>
    <w:p>
      <w:pPr>
        <w:spacing w:line="560" w:lineRule="exact"/>
        <w:rPr>
          <w:sz w:val="44"/>
          <w:szCs w:val="44"/>
        </w:rPr>
      </w:pPr>
      <w:r>
        <w:rPr>
          <w:sz w:val="44"/>
          <w:szCs w:val="44"/>
        </w:rPr>
        <w:pict>
          <v:shape id="_x0000_s1026" o:spid="_x0000_s1026" o:spt="202" type="#_x0000_t202" style="position:absolute;left:0pt;margin-left:98.3pt;margin-top:9.6pt;height:39.5pt;width:232.2pt;z-index:251659264;mso-width-relative:page;mso-height-relative:page;"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lang w:val="en-US" w:eastAsia="zh-CN"/>
                    </w:rPr>
                    <w:t>53</w:t>
                  </w:r>
                  <w:r>
                    <w:rPr>
                      <w:rFonts w:hint="eastAsia"/>
                    </w:rPr>
                    <w:t>号</w:t>
                  </w:r>
                </w:p>
              </w:txbxContent>
            </v:textbox>
          </v:shape>
        </w:pict>
      </w:r>
    </w:p>
    <w:p>
      <w:pPr>
        <w:spacing w:line="560" w:lineRule="exact"/>
        <w:jc w:val="both"/>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关于第一师一团～阿瓦提县公路环境影响</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报告书的批复</w:t>
      </w:r>
    </w:p>
    <w:p/>
    <w:p>
      <w:pPr>
        <w:pStyle w:val="19"/>
        <w:spacing w:line="560" w:lineRule="exact"/>
        <w:rPr>
          <w:rFonts w:ascii="仿宋_GB2312" w:hAnsi="方正小标宋简体" w:eastAsia="仿宋_GB2312" w:cs="方正小标宋简体"/>
          <w:bCs/>
          <w:sz w:val="32"/>
          <w:szCs w:val="32"/>
        </w:rPr>
      </w:pPr>
      <w:r>
        <w:rPr>
          <w:rFonts w:hint="eastAsia" w:ascii="仿宋_GB2312" w:hAnsi="方正小标宋简体" w:eastAsia="仿宋_GB2312" w:cs="方正小标宋简体"/>
          <w:bCs/>
          <w:sz w:val="32"/>
          <w:szCs w:val="32"/>
        </w:rPr>
        <w:t>阿拉尔市公路管理处：</w:t>
      </w:r>
    </w:p>
    <w:p>
      <w:pPr>
        <w:adjustRightInd w:val="0"/>
        <w:snapToGrid w:val="0"/>
        <w:spacing w:line="560" w:lineRule="exact"/>
        <w:ind w:firstLine="640" w:firstLineChars="200"/>
        <w:rPr>
          <w:rFonts w:ascii="仿宋_GB2312"/>
        </w:rPr>
      </w:pPr>
      <w:r>
        <w:rPr>
          <w:rFonts w:hint="eastAsia" w:ascii="仿宋_GB2312"/>
        </w:rPr>
        <w:t>你单位报送的《</w:t>
      </w:r>
      <w:r>
        <w:rPr>
          <w:rFonts w:hint="eastAsia" w:ascii="仿宋_GB2312"/>
          <w:bCs/>
        </w:rPr>
        <w:t>关于审批</w:t>
      </w:r>
      <w:r>
        <w:rPr>
          <w:rFonts w:ascii="仿宋_GB2312"/>
          <w:bCs/>
        </w:rPr>
        <w:t>&lt;</w:t>
      </w:r>
      <w:r>
        <w:rPr>
          <w:rFonts w:hint="eastAsia" w:ascii="仿宋_GB2312"/>
          <w:bCs/>
        </w:rPr>
        <w:t>第一师一团～阿瓦提县公路环境影响报告书</w:t>
      </w:r>
      <w:r>
        <w:rPr>
          <w:rFonts w:ascii="仿宋_GB2312"/>
          <w:bCs/>
        </w:rPr>
        <w:t>&gt;</w:t>
      </w:r>
      <w:r>
        <w:rPr>
          <w:rFonts w:hint="eastAsia" w:ascii="仿宋_GB2312"/>
          <w:bCs/>
        </w:rPr>
        <w:t>的请示</w:t>
      </w:r>
      <w:r>
        <w:rPr>
          <w:rFonts w:hint="eastAsia" w:ascii="仿宋_GB2312"/>
        </w:rPr>
        <w:t>》及《</w:t>
      </w:r>
      <w:r>
        <w:rPr>
          <w:rFonts w:hint="eastAsia" w:ascii="仿宋_GB2312" w:hAnsi="方正小标宋简体" w:cs="方正小标宋简体"/>
          <w:bCs/>
        </w:rPr>
        <w:t>第一师一团～阿瓦提县公路环境影响报告书</w:t>
      </w:r>
      <w:r>
        <w:rPr>
          <w:rFonts w:hint="eastAsia" w:ascii="仿宋_GB2312"/>
        </w:rPr>
        <w:t>》（以下简称“报告书”）收悉。经专家审查和研究，现批复如下：</w:t>
      </w:r>
    </w:p>
    <w:p>
      <w:pPr>
        <w:numPr>
          <w:ilvl w:val="0"/>
          <w:numId w:val="1"/>
        </w:numPr>
        <w:spacing w:line="560" w:lineRule="exact"/>
        <w:ind w:firstLine="640" w:firstLineChars="200"/>
        <w:rPr>
          <w:rFonts w:ascii="仿宋_GB2312" w:cs="仿宋_GB2312"/>
        </w:rPr>
      </w:pPr>
      <w:r>
        <w:rPr>
          <w:rFonts w:hint="eastAsia" w:ascii="仿宋_GB2312" w:hAnsi="仿宋_GB2312" w:cs="仿宋_GB2312"/>
          <w:bCs/>
        </w:rPr>
        <w:t>第一师一团～阿瓦提县公路</w:t>
      </w:r>
      <w:r>
        <w:rPr>
          <w:rFonts w:hint="eastAsia" w:ascii="仿宋_GB2312" w:hAnsi="仿宋_GB2312" w:cs="仿宋_GB2312"/>
        </w:rPr>
        <w:t>全长</w:t>
      </w:r>
      <w:r>
        <w:rPr>
          <w:rFonts w:ascii="仿宋_GB2312" w:hAnsi="仿宋_GB2312" w:cs="仿宋_GB2312"/>
        </w:rPr>
        <w:t>53.133</w:t>
      </w:r>
      <w:r>
        <w:rPr>
          <w:rFonts w:hint="eastAsia" w:ascii="仿宋_GB2312" w:hAnsi="仿宋_GB2312" w:cs="仿宋_GB2312"/>
        </w:rPr>
        <w:t>公里，</w:t>
      </w:r>
      <w:r>
        <w:rPr>
          <w:rFonts w:hint="eastAsia" w:ascii="仿宋_GB2312" w:hAnsi="仿宋_GB2312" w:cs="仿宋_GB2312"/>
          <w:bCs/>
        </w:rPr>
        <w:t>其中新建</w:t>
      </w:r>
      <w:r>
        <w:rPr>
          <w:rFonts w:ascii="仿宋_GB2312" w:hAnsi="仿宋_GB2312" w:cs="仿宋_GB2312"/>
          <w:bCs/>
        </w:rPr>
        <w:t>32.964</w:t>
      </w:r>
      <w:r>
        <w:rPr>
          <w:rFonts w:hint="eastAsia" w:ascii="仿宋_GB2312" w:hAnsi="仿宋_GB2312" w:cs="仿宋_GB2312"/>
        </w:rPr>
        <w:t>公里</w:t>
      </w:r>
      <w:r>
        <w:rPr>
          <w:rFonts w:hint="eastAsia" w:ascii="仿宋_GB2312" w:hAnsi="仿宋_GB2312" w:cs="仿宋_GB2312"/>
          <w:bCs/>
        </w:rPr>
        <w:t>，改扩建</w:t>
      </w:r>
      <w:r>
        <w:rPr>
          <w:rFonts w:ascii="仿宋_GB2312" w:hAnsi="仿宋_GB2312" w:cs="仿宋_GB2312"/>
          <w:bCs/>
        </w:rPr>
        <w:t>22.169</w:t>
      </w:r>
      <w:r>
        <w:rPr>
          <w:rFonts w:hint="eastAsia" w:ascii="仿宋_GB2312" w:hAnsi="仿宋_GB2312" w:cs="仿宋_GB2312"/>
        </w:rPr>
        <w:t>公里</w:t>
      </w:r>
      <w:r>
        <w:rPr>
          <w:rFonts w:hint="eastAsia" w:ascii="仿宋_GB2312" w:hAnsi="仿宋_GB2312" w:cs="仿宋_GB2312"/>
          <w:bCs/>
        </w:rPr>
        <w:t>。</w:t>
      </w:r>
      <w:r>
        <w:rPr>
          <w:rFonts w:ascii="仿宋_GB2312" w:hAnsi="仿宋_GB2312" w:cs="仿宋_GB2312"/>
          <w:bCs/>
        </w:rPr>
        <w:t>K0+000</w:t>
      </w:r>
      <w:r>
        <w:rPr>
          <w:rFonts w:hint="eastAsia" w:ascii="仿宋_GB2312" w:hAnsi="仿宋_GB2312" w:cs="仿宋_GB2312"/>
          <w:bCs/>
        </w:rPr>
        <w:t>～</w:t>
      </w:r>
      <w:r>
        <w:rPr>
          <w:rFonts w:ascii="仿宋_GB2312" w:hAnsi="仿宋_GB2312" w:cs="仿宋_GB2312"/>
          <w:bCs/>
        </w:rPr>
        <w:t>K18+000</w:t>
      </w:r>
      <w:r>
        <w:rPr>
          <w:rFonts w:hint="eastAsia" w:ascii="仿宋_GB2312" w:hAnsi="仿宋_GB2312" w:cs="仿宋_GB2312"/>
          <w:bCs/>
        </w:rPr>
        <w:t>位于一团境内，</w:t>
      </w:r>
      <w:r>
        <w:rPr>
          <w:rFonts w:ascii="仿宋_GB2312" w:hAnsi="仿宋_GB2312" w:cs="仿宋_GB2312"/>
          <w:bCs/>
        </w:rPr>
        <w:t>K18+000</w:t>
      </w:r>
      <w:r>
        <w:rPr>
          <w:rFonts w:hint="eastAsia" w:ascii="仿宋_GB2312" w:hAnsi="仿宋_GB2312" w:cs="仿宋_GB2312"/>
          <w:bCs/>
        </w:rPr>
        <w:t>～</w:t>
      </w:r>
      <w:r>
        <w:rPr>
          <w:rFonts w:ascii="仿宋_GB2312" w:hAnsi="仿宋_GB2312" w:cs="仿宋_GB2312"/>
          <w:bCs/>
        </w:rPr>
        <w:t>K53+13</w:t>
      </w:r>
      <w:r>
        <w:rPr>
          <w:rFonts w:hint="eastAsia" w:ascii="仿宋_GB2312" w:hAnsi="仿宋_GB2312" w:cs="仿宋_GB2312"/>
          <w:bCs/>
        </w:rPr>
        <w:t>位于阿瓦提境内。</w:t>
      </w:r>
      <w:r>
        <w:rPr>
          <w:rFonts w:hint="eastAsia" w:ascii="仿宋_GB2312" w:hAnsi="仿宋_GB2312" w:cs="仿宋_GB2312"/>
        </w:rPr>
        <w:t>公路等级为二级公路，设计速度</w:t>
      </w:r>
      <w:r>
        <w:rPr>
          <w:rFonts w:ascii="仿宋_GB2312" w:hAnsi="仿宋_GB2312" w:cs="仿宋_GB2312"/>
        </w:rPr>
        <w:t>80</w:t>
      </w:r>
      <w:r>
        <w:rPr>
          <w:rFonts w:hint="eastAsia" w:ascii="仿宋_GB2312" w:hAnsi="仿宋_GB2312" w:cs="仿宋_GB2312"/>
        </w:rPr>
        <w:t>千米</w:t>
      </w:r>
      <w:r>
        <w:rPr>
          <w:rFonts w:ascii="仿宋_GB2312" w:hAnsi="仿宋_GB2312" w:cs="仿宋_GB2312"/>
        </w:rPr>
        <w:t>/</w:t>
      </w:r>
      <w:r>
        <w:rPr>
          <w:rFonts w:hint="eastAsia" w:ascii="仿宋_GB2312" w:hAnsi="仿宋_GB2312" w:cs="仿宋_GB2312"/>
        </w:rPr>
        <w:t>时，路基宽</w:t>
      </w:r>
      <w:r>
        <w:rPr>
          <w:rFonts w:ascii="仿宋_GB2312" w:hAnsi="仿宋_GB2312" w:cs="仿宋_GB2312"/>
        </w:rPr>
        <w:t>12</w:t>
      </w:r>
      <w:r>
        <w:rPr>
          <w:rFonts w:hint="eastAsia" w:ascii="仿宋_GB2312" w:hAnsi="仿宋_GB2312" w:cs="仿宋_GB2312"/>
        </w:rPr>
        <w:t>米，路面宽</w:t>
      </w:r>
      <w:r>
        <w:rPr>
          <w:rFonts w:ascii="仿宋_GB2312" w:hAnsi="仿宋_GB2312" w:cs="仿宋_GB2312"/>
        </w:rPr>
        <w:t>10.5</w:t>
      </w:r>
      <w:r>
        <w:rPr>
          <w:rFonts w:hint="eastAsia" w:ascii="仿宋_GB2312" w:hAnsi="仿宋_GB2312" w:cs="仿宋_GB2312"/>
        </w:rPr>
        <w:t>米，车道宽</w:t>
      </w:r>
      <w:r>
        <w:rPr>
          <w:rFonts w:ascii="仿宋_GB2312" w:hAnsi="仿宋_GB2312" w:cs="仿宋_GB2312"/>
        </w:rPr>
        <w:t>2</w:t>
      </w:r>
      <w:r>
        <w:rPr>
          <w:rFonts w:hint="eastAsia" w:ascii="仿宋_GB2312" w:hAnsi="仿宋_GB2312" w:cs="仿宋_GB2312"/>
        </w:rPr>
        <w:t>×</w:t>
      </w:r>
      <w:r>
        <w:rPr>
          <w:rFonts w:ascii="仿宋_GB2312" w:hAnsi="仿宋_GB2312" w:cs="仿宋_GB2312"/>
        </w:rPr>
        <w:t>3.75</w:t>
      </w:r>
      <w:r>
        <w:rPr>
          <w:rFonts w:hint="eastAsia" w:ascii="仿宋_GB2312" w:hAnsi="仿宋_GB2312" w:cs="仿宋_GB2312"/>
        </w:rPr>
        <w:t>米，两侧各设</w:t>
      </w:r>
      <w:r>
        <w:rPr>
          <w:rFonts w:ascii="仿宋_GB2312" w:hAnsi="仿宋_GB2312" w:cs="仿宋_GB2312"/>
        </w:rPr>
        <w:t>1.5</w:t>
      </w:r>
      <w:r>
        <w:rPr>
          <w:rFonts w:hint="eastAsia" w:ascii="仿宋_GB2312" w:hAnsi="仿宋_GB2312" w:cs="仿宋_GB2312"/>
        </w:rPr>
        <w:t>米的硬路肩和</w:t>
      </w:r>
      <w:r>
        <w:rPr>
          <w:rFonts w:ascii="仿宋_GB2312" w:hAnsi="仿宋_GB2312" w:cs="仿宋_GB2312"/>
        </w:rPr>
        <w:t>0.75</w:t>
      </w:r>
      <w:r>
        <w:rPr>
          <w:rFonts w:hint="eastAsia" w:ascii="仿宋_GB2312" w:hAnsi="仿宋_GB2312" w:cs="仿宋_GB2312"/>
        </w:rPr>
        <w:t>米的土路肩；路面类型为中粒式沥青混凝土。全线</w:t>
      </w:r>
      <w:r>
        <w:rPr>
          <w:rFonts w:hint="eastAsia" w:ascii="仿宋_GB2312" w:hAnsi="仿宋_GB2312" w:cs="仿宋_GB2312"/>
          <w:bCs/>
        </w:rPr>
        <w:t>设大桥</w:t>
      </w:r>
      <w:r>
        <w:rPr>
          <w:rFonts w:ascii="仿宋_GB2312" w:hAnsi="仿宋_GB2312" w:cs="仿宋_GB2312"/>
          <w:bCs/>
        </w:rPr>
        <w:t>1</w:t>
      </w:r>
      <w:r>
        <w:rPr>
          <w:rFonts w:hint="eastAsia" w:ascii="仿宋_GB2312" w:hAnsi="仿宋_GB2312" w:cs="仿宋_GB2312"/>
          <w:bCs/>
        </w:rPr>
        <w:t>座、中桥</w:t>
      </w:r>
      <w:r>
        <w:rPr>
          <w:rFonts w:ascii="仿宋_GB2312" w:hAnsi="仿宋_GB2312" w:cs="仿宋_GB2312"/>
          <w:bCs/>
        </w:rPr>
        <w:t>5</w:t>
      </w:r>
      <w:r>
        <w:rPr>
          <w:rFonts w:hint="eastAsia" w:ascii="仿宋_GB2312" w:hAnsi="仿宋_GB2312" w:cs="仿宋_GB2312"/>
          <w:bCs/>
        </w:rPr>
        <w:t>座、小桥</w:t>
      </w:r>
      <w:r>
        <w:rPr>
          <w:rFonts w:ascii="仿宋_GB2312" w:hAnsi="仿宋_GB2312" w:cs="仿宋_GB2312"/>
          <w:bCs/>
        </w:rPr>
        <w:t>6</w:t>
      </w:r>
      <w:r>
        <w:rPr>
          <w:rFonts w:hint="eastAsia" w:ascii="仿宋_GB2312" w:hAnsi="仿宋_GB2312" w:cs="仿宋_GB2312"/>
          <w:bCs/>
        </w:rPr>
        <w:t>座，</w:t>
      </w:r>
      <w:r>
        <w:rPr>
          <w:rFonts w:hint="eastAsia" w:ascii="仿宋_GB2312" w:hAnsi="仿宋_GB2312" w:cs="仿宋_GB2312"/>
        </w:rPr>
        <w:t>涵洞</w:t>
      </w:r>
      <w:r>
        <w:rPr>
          <w:rFonts w:ascii="仿宋_GB2312" w:hAnsi="仿宋_GB2312" w:cs="仿宋_GB2312"/>
        </w:rPr>
        <w:t>174</w:t>
      </w:r>
      <w:r>
        <w:rPr>
          <w:rFonts w:hint="eastAsia" w:ascii="仿宋_GB2312" w:hAnsi="仿宋_GB2312" w:cs="仿宋_GB2312"/>
        </w:rPr>
        <w:t>道，平面交叉</w:t>
      </w:r>
      <w:r>
        <w:rPr>
          <w:rFonts w:ascii="仿宋_GB2312" w:hAnsi="仿宋_GB2312" w:cs="仿宋_GB2312"/>
        </w:rPr>
        <w:t>90</w:t>
      </w:r>
      <w:r>
        <w:rPr>
          <w:rFonts w:hint="eastAsia" w:ascii="仿宋_GB2312" w:hAnsi="仿宋_GB2312" w:cs="仿宋_GB2312"/>
        </w:rPr>
        <w:t>处。不设置收费站、服务区等公路服务设施。项目总投资</w:t>
      </w:r>
      <w:r>
        <w:rPr>
          <w:rFonts w:ascii="仿宋_GB2312" w:hAnsi="仿宋_GB2312" w:cs="仿宋_GB2312"/>
        </w:rPr>
        <w:t>43531.33</w:t>
      </w:r>
      <w:r>
        <w:rPr>
          <w:rFonts w:hint="eastAsia" w:ascii="仿宋_GB2312" w:hAnsi="仿宋_GB2312" w:cs="仿宋_GB2312"/>
        </w:rPr>
        <w:t>万元，其中环保投资</w:t>
      </w:r>
      <w:r>
        <w:rPr>
          <w:rFonts w:ascii="仿宋_GB2312" w:hAnsi="仿宋_GB2312" w:cs="仿宋_GB2312"/>
        </w:rPr>
        <w:t>842.5</w:t>
      </w:r>
      <w:r>
        <w:rPr>
          <w:rFonts w:hint="eastAsia" w:ascii="仿宋_GB2312" w:hAnsi="仿宋_GB2312" w:cs="仿宋_GB2312"/>
        </w:rPr>
        <w:t>万元，占总投资比例</w:t>
      </w:r>
      <w:r>
        <w:rPr>
          <w:rFonts w:ascii="仿宋_GB2312" w:hAnsi="仿宋_GB2312" w:cs="仿宋_GB2312"/>
        </w:rPr>
        <w:t>1.94%</w:t>
      </w:r>
    </w:p>
    <w:p>
      <w:pPr>
        <w:adjustRightInd w:val="0"/>
        <w:snapToGrid w:val="0"/>
        <w:spacing w:line="560" w:lineRule="exact"/>
        <w:ind w:firstLine="640" w:firstLineChars="200"/>
        <w:rPr>
          <w:rFonts w:ascii="仿宋_GB2312" w:cs="仿宋_GB2312"/>
        </w:rPr>
      </w:pPr>
      <w:r>
        <w:rPr>
          <w:rFonts w:hint="eastAsia" w:ascii="仿宋_GB2312" w:hAnsi="仿宋_GB2312" w:cs="仿宋_GB2312"/>
        </w:rPr>
        <w:t>二</w:t>
      </w:r>
      <w:r>
        <w:rPr>
          <w:rFonts w:hint="eastAsia" w:ascii="仿宋_GB2312" w:hAnsi="仿宋_GB2312" w:cs="仿宋_GB2312"/>
          <w:color w:val="000000"/>
        </w:rPr>
        <w:t>、该项目属于</w:t>
      </w:r>
      <w:r>
        <w:rPr>
          <w:rFonts w:hint="eastAsia" w:ascii="仿宋_GB2312" w:hAnsi="仿宋_GB2312" w:cs="仿宋_GB2312"/>
          <w:color w:val="000000"/>
          <w:lang w:val="zh-CN"/>
        </w:rPr>
        <w:t>等级公路项目。</w:t>
      </w:r>
      <w:r>
        <w:rPr>
          <w:rFonts w:hint="eastAsia" w:ascii="仿宋_GB2312" w:hAnsi="仿宋_GB2312" w:cs="仿宋_GB2312"/>
        </w:rPr>
        <w:t>在全面落实报告书提出的各项生态保护和污染防治措施后，项目建设和运营过程中对环境的不利影响能够得到缓解和控制。因此，综合各方面因素，从环境保护角度考虑，我局原则同意你单位按照报告书中所列建设项目的路线、地点、性质、规模和拟采取的环境保护对策措施进行项目建设。</w:t>
      </w:r>
    </w:p>
    <w:p>
      <w:pPr>
        <w:adjustRightInd w:val="0"/>
        <w:snapToGrid w:val="0"/>
        <w:spacing w:line="560" w:lineRule="exact"/>
        <w:ind w:firstLine="640" w:firstLineChars="200"/>
        <w:rPr>
          <w:rFonts w:ascii="仿宋_GB2312" w:cs="仿宋_GB2312"/>
        </w:rPr>
      </w:pPr>
      <w:r>
        <w:rPr>
          <w:rFonts w:hint="eastAsia" w:ascii="仿宋_GB2312" w:hAnsi="仿宋_GB2312" w:cs="仿宋_GB2312"/>
        </w:rPr>
        <w:t>三、项目施工前须完成落实的工作：</w:t>
      </w:r>
    </w:p>
    <w:p>
      <w:pPr>
        <w:spacing w:line="520" w:lineRule="exact"/>
        <w:ind w:firstLine="640" w:firstLineChars="200"/>
        <w:rPr>
          <w:rFonts w:ascii="仿宋_GB2312" w:cs="仿宋_GB2312"/>
        </w:rPr>
      </w:pPr>
      <w:r>
        <w:rPr>
          <w:rFonts w:hint="eastAsia" w:ascii="仿宋_GB2312" w:hAnsi="仿宋_GB2312" w:cs="仿宋_GB2312"/>
        </w:rPr>
        <w:t>项目建设占用耕地</w:t>
      </w:r>
      <w:r>
        <w:rPr>
          <w:rFonts w:ascii="仿宋_GB2312" w:hAnsi="仿宋_GB2312" w:cs="仿宋_GB2312"/>
        </w:rPr>
        <w:t>35.81</w:t>
      </w:r>
      <w:r>
        <w:rPr>
          <w:rFonts w:hint="eastAsia" w:ascii="仿宋_GB2312" w:hAnsi="仿宋_GB2312" w:cs="仿宋_GB2312"/>
        </w:rPr>
        <w:t>公顷，其中占用一团耕地</w:t>
      </w:r>
      <w:r>
        <w:rPr>
          <w:rFonts w:ascii="仿宋_GB2312" w:hAnsi="仿宋_GB2312" w:cs="仿宋_GB2312"/>
        </w:rPr>
        <w:t>10.17</w:t>
      </w:r>
      <w:r>
        <w:rPr>
          <w:rFonts w:hint="eastAsia" w:ascii="仿宋_GB2312" w:hAnsi="仿宋_GB2312" w:cs="仿宋_GB2312"/>
        </w:rPr>
        <w:t>公顷，含基本农田</w:t>
      </w:r>
      <w:r>
        <w:rPr>
          <w:rFonts w:ascii="仿宋_GB2312" w:hAnsi="仿宋_GB2312" w:cs="仿宋_GB2312"/>
        </w:rPr>
        <w:t>8.99</w:t>
      </w:r>
      <w:r>
        <w:rPr>
          <w:rFonts w:hint="eastAsia" w:ascii="仿宋_GB2312" w:hAnsi="仿宋_GB2312" w:cs="仿宋_GB2312"/>
        </w:rPr>
        <w:t>公顷；占用阿瓦提县耕地</w:t>
      </w:r>
      <w:r>
        <w:rPr>
          <w:rFonts w:ascii="仿宋_GB2312" w:hAnsi="仿宋_GB2312" w:cs="仿宋_GB2312"/>
        </w:rPr>
        <w:t xml:space="preserve">25.64 </w:t>
      </w:r>
      <w:r>
        <w:rPr>
          <w:rFonts w:hint="eastAsia" w:ascii="仿宋_GB2312" w:hAnsi="仿宋_GB2312" w:cs="仿宋_GB2312"/>
        </w:rPr>
        <w:t>公顷，含基本农田</w:t>
      </w:r>
      <w:r>
        <w:rPr>
          <w:rFonts w:ascii="仿宋_GB2312" w:hAnsi="仿宋_GB2312" w:cs="仿宋_GB2312"/>
        </w:rPr>
        <w:t>3.83</w:t>
      </w:r>
      <w:r>
        <w:rPr>
          <w:rFonts w:hint="eastAsia" w:ascii="仿宋_GB2312" w:hAnsi="仿宋_GB2312" w:cs="仿宋_GB2312"/>
        </w:rPr>
        <w:t>公顷。建设单位须严格按照《中华人民共和国基本农田保护条例》、《新疆维吾尔自治区基本农田保护办法》、《中共中央国务院关于加强耕地保护和改进占补平衡的意见》、《中华人民共和国土地管理法》、《关于全面实行永久基本农田特殊保护的通知》（国土资规〔</w:t>
      </w:r>
      <w:r>
        <w:rPr>
          <w:rFonts w:ascii="仿宋_GB2312" w:hAnsi="仿宋_GB2312" w:cs="仿宋_GB2312"/>
        </w:rPr>
        <w:t>2018</w:t>
      </w: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号）及有关法规政策的规定办理基本农田及一般耕地的用地手续，按“占一补一”的原则进行耕地补偿，并采取一次性货币补偿的方式向被占用耕地的部门或个人进行补偿。</w:t>
      </w:r>
    </w:p>
    <w:p>
      <w:pPr>
        <w:spacing w:line="560" w:lineRule="exact"/>
        <w:ind w:firstLine="640" w:firstLineChars="200"/>
        <w:rPr>
          <w:rFonts w:ascii="仿宋_GB2312" w:cs="仿宋_GB2312"/>
        </w:rPr>
      </w:pPr>
      <w:r>
        <w:rPr>
          <w:rFonts w:hint="eastAsia" w:ascii="仿宋_GB2312" w:hAnsi="仿宋_GB2312" w:cs="仿宋_GB2312"/>
        </w:rPr>
        <w:t>项目占用林地</w:t>
      </w:r>
      <w:r>
        <w:rPr>
          <w:rFonts w:ascii="仿宋_GB2312" w:hAnsi="仿宋_GB2312" w:cs="仿宋_GB2312"/>
        </w:rPr>
        <w:t>24.67</w:t>
      </w:r>
      <w:r>
        <w:rPr>
          <w:rFonts w:hint="eastAsia" w:ascii="仿宋_GB2312" w:hAnsi="仿宋_GB2312" w:cs="仿宋_GB2312"/>
        </w:rPr>
        <w:t>公顷，其中占用一团林地</w:t>
      </w:r>
      <w:r>
        <w:rPr>
          <w:rFonts w:ascii="仿宋_GB2312" w:hAnsi="仿宋_GB2312" w:cs="仿宋_GB2312"/>
        </w:rPr>
        <w:t>7.85</w:t>
      </w:r>
      <w:r>
        <w:rPr>
          <w:rFonts w:hint="eastAsia" w:ascii="仿宋_GB2312" w:hAnsi="仿宋_GB2312" w:cs="仿宋_GB2312"/>
        </w:rPr>
        <w:t>公顷，占用阿瓦提县林地</w:t>
      </w:r>
      <w:r>
        <w:rPr>
          <w:rFonts w:ascii="仿宋_GB2312" w:hAnsi="仿宋_GB2312" w:cs="仿宋_GB2312"/>
        </w:rPr>
        <w:t>16.82</w:t>
      </w:r>
      <w:r>
        <w:rPr>
          <w:rFonts w:hint="eastAsia" w:ascii="仿宋_GB2312" w:hAnsi="仿宋_GB2312" w:cs="仿宋_GB2312"/>
        </w:rPr>
        <w:t>公顷、含阿瓦提县地方公益林</w:t>
      </w:r>
      <w:r>
        <w:rPr>
          <w:rFonts w:ascii="仿宋_GB2312" w:hAnsi="仿宋_GB2312" w:cs="仿宋_GB2312"/>
        </w:rPr>
        <w:t>7.13</w:t>
      </w:r>
      <w:r>
        <w:rPr>
          <w:rFonts w:hint="eastAsia" w:ascii="仿宋_GB2312" w:hAnsi="仿宋_GB2312" w:cs="仿宋_GB2312"/>
        </w:rPr>
        <w:t>公顷。建设单位须严格按照批准范围砍伐林木，在项目实施前办理林地征占手续和采伐许可等，具体补偿费用由建设单位统一负责。</w:t>
      </w:r>
    </w:p>
    <w:p>
      <w:pPr>
        <w:pStyle w:val="19"/>
        <w:adjustRightInd w:val="0"/>
        <w:snapToGrid w:val="0"/>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待上述手续办理完毕后，项目方可开工建设。</w:t>
      </w:r>
    </w:p>
    <w:p>
      <w:pPr>
        <w:pStyle w:val="19"/>
        <w:adjustRightInd w:val="0"/>
        <w:snapToGrid w:val="0"/>
        <w:spacing w:line="560" w:lineRule="exac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四、项目建设和运行管理中应重点做好以下工作：</w:t>
      </w:r>
    </w:p>
    <w:p>
      <w:pPr>
        <w:spacing w:line="560" w:lineRule="exact"/>
        <w:ind w:firstLine="640" w:firstLineChars="200"/>
        <w:rPr>
          <w:rFonts w:ascii="仿宋_GB2312" w:hAnsi="仿宋"/>
          <w:bCs/>
        </w:rPr>
      </w:pPr>
      <w:r>
        <w:rPr>
          <w:rFonts w:hint="eastAsia" w:ascii="仿宋_GB2312" w:hAnsi="仿宋"/>
          <w:bCs/>
        </w:rPr>
        <w:t>（一）加强沿线生态保护。严控施工范围，按照“永临结合”的原则，优化全线施工便道、弃土场、施工生产生活区的设置。施工便道、弃土场、施工生产生活区等临时工程不得设在生态敏感区内。落实各项水土保持、防沙治沙等生态保护措施。</w:t>
      </w:r>
    </w:p>
    <w:p>
      <w:pPr>
        <w:spacing w:line="560" w:lineRule="exact"/>
        <w:ind w:firstLine="640" w:firstLineChars="200"/>
        <w:rPr>
          <w:rFonts w:ascii="仿宋_GB2312"/>
        </w:rPr>
      </w:pPr>
      <w:r>
        <w:rPr>
          <w:rFonts w:hint="eastAsia" w:ascii="仿宋_GB2312" w:hAnsi="仿宋"/>
          <w:bCs/>
        </w:rPr>
        <w:t>（二）严格落实噪声污染</w:t>
      </w:r>
      <w:r>
        <w:rPr>
          <w:rFonts w:hint="eastAsia" w:ascii="仿宋_GB2312"/>
        </w:rPr>
        <w:t>防治措施。施工期合理安排施工时间，尽量选用低噪声设备，采取减震、隔声措施，途径村庄施工时</w:t>
      </w:r>
      <w:r>
        <w:rPr>
          <w:rFonts w:hint="eastAsia" w:ascii="仿宋_GB2312" w:hAnsi="仿宋"/>
        </w:rPr>
        <w:t>设临时隔声屏障和限速标志，封闭施工。</w:t>
      </w:r>
      <w:r>
        <w:rPr>
          <w:rFonts w:hint="eastAsia" w:ascii="仿宋_GB2312"/>
        </w:rPr>
        <w:t>施工噪声排放严格执行《建筑施工厂界环境噪声排放标准》（</w:t>
      </w:r>
      <w:r>
        <w:rPr>
          <w:rFonts w:ascii="仿宋_GB2312"/>
        </w:rPr>
        <w:t xml:space="preserve"> GB12523-2011 )</w:t>
      </w:r>
      <w:r>
        <w:rPr>
          <w:rFonts w:hint="eastAsia" w:ascii="仿宋_GB2312"/>
        </w:rPr>
        <w:t>，防止对施工道路沿线居民等环境敏感点造成不利影响。</w:t>
      </w:r>
    </w:p>
    <w:p>
      <w:pPr>
        <w:spacing w:line="560" w:lineRule="exact"/>
        <w:ind w:firstLine="640" w:firstLineChars="200"/>
        <w:rPr>
          <w:rFonts w:ascii="仿宋_GB2312" w:hAnsi="仿宋"/>
        </w:rPr>
      </w:pPr>
      <w:r>
        <w:rPr>
          <w:rFonts w:ascii="仿宋_GB2312"/>
        </w:rPr>
        <w:t>运营期</w:t>
      </w:r>
      <w:r>
        <w:rPr>
          <w:rFonts w:hint="eastAsia" w:ascii="仿宋_GB2312" w:hAnsi="仿宋"/>
          <w:color w:val="000000"/>
        </w:rPr>
        <w:t>在途径村庄段设置限速标志和禁鸣标志，定期养护路面、维持路的平整，在公路两侧设绿化带，对距离道路中心线30米内的12户居民区实施搬迁，确保公路边界外35米内区域的声环境质量满足《声环境质量标准》（GB3096-2008）中4a类标准要求、35米外区域的声环境质量满足2类标准要求。</w:t>
      </w:r>
    </w:p>
    <w:p>
      <w:pPr>
        <w:widowControl/>
        <w:shd w:val="clear" w:color="auto" w:fill="FFFFFF"/>
        <w:spacing w:line="560" w:lineRule="exact"/>
        <w:ind w:firstLine="640" w:firstLineChars="200"/>
        <w:rPr>
          <w:rFonts w:ascii="仿宋_GB2312"/>
        </w:rPr>
      </w:pPr>
      <w:r>
        <w:rPr>
          <w:rFonts w:hint="eastAsia" w:ascii="仿宋_GB2312" w:hAnsi="仿宋"/>
          <w:bCs/>
        </w:rPr>
        <w:t>（三）</w:t>
      </w:r>
      <w:r>
        <w:rPr>
          <w:rFonts w:hint="eastAsia" w:ascii="仿宋_GB2312"/>
        </w:rPr>
        <w:t>落实</w:t>
      </w:r>
      <w:r>
        <w:rPr>
          <w:rFonts w:hint="eastAsia" w:ascii="仿宋_GB2312" w:hAnsi="仿宋"/>
          <w:bCs/>
        </w:rPr>
        <w:t>大气污染</w:t>
      </w:r>
      <w:r>
        <w:rPr>
          <w:rFonts w:hint="eastAsia" w:ascii="仿宋_GB2312"/>
        </w:rPr>
        <w:t>防治措施。施工生产生活区周边设围挡，对施工场地进行洒水降尘，进出车辆限速；细颗粒散体材料堆存须严密遮盖，运输时遮盖篷布，施工裸露地表及时做严实处理，大风天气严禁施工，确保施工场地扬尘排放满足</w:t>
      </w:r>
      <w:r>
        <w:rPr>
          <w:rFonts w:ascii="仿宋_GB2312"/>
        </w:rPr>
        <w:t>《大气污染物综合排放标准》（GBI6297-1996）中新污染源无组织排放监控浓度限值</w:t>
      </w:r>
      <w:r>
        <w:rPr>
          <w:rFonts w:hint="eastAsia" w:ascii="仿宋_GB2312"/>
        </w:rPr>
        <w:t>。选用低能耗、低污染排放的施工机械车辆，加强机械、车辆的维护和管理，降低施工机械尾气排放，确保施工机械尾气满足</w:t>
      </w:r>
      <w:r>
        <w:rPr>
          <w:rFonts w:ascii="仿宋_GB2312"/>
        </w:rPr>
        <w:t>《大气污染物综合排放标准》（GB16297-1996）中二级标准</w:t>
      </w:r>
      <w:r>
        <w:rPr>
          <w:rFonts w:hint="eastAsia" w:ascii="仿宋_GB2312"/>
        </w:rPr>
        <w:t>。</w:t>
      </w:r>
    </w:p>
    <w:p>
      <w:pPr>
        <w:widowControl/>
        <w:shd w:val="clear" w:color="auto" w:fill="FFFFFF"/>
        <w:spacing w:line="560" w:lineRule="exact"/>
        <w:ind w:firstLine="640" w:firstLineChars="200"/>
        <w:rPr>
          <w:rFonts w:hint="eastAsia" w:ascii="仿宋_GB2312" w:hAnsi="仿宋"/>
          <w:bCs/>
        </w:rPr>
      </w:pPr>
      <w:r>
        <w:rPr>
          <w:rFonts w:hint="eastAsia" w:ascii="仿宋_GB2312" w:hAnsi="仿宋"/>
          <w:bCs/>
        </w:rPr>
        <w:t>加强施工临时设施的废气治理。水稳拌合站运行产生的含尘废气经搅拌楼设置的箱式布袋除尘器处理，混凝土拌合站的筒仓含尘废气经仓顶脉冲布袋除尘器处理，排放口高度均离地15米，废气中颗粒物排放浓度均满足《水泥工业大气污染物排放标准》（GB4915-</w:t>
      </w:r>
      <w:r>
        <w:rPr>
          <w:rFonts w:ascii="仿宋_GB2312" w:hAnsi="仿宋"/>
          <w:bCs/>
        </w:rPr>
        <w:t>2013</w:t>
      </w:r>
      <w:r>
        <w:rPr>
          <w:rFonts w:hint="eastAsia" w:ascii="仿宋_GB2312" w:hAnsi="仿宋"/>
          <w:bCs/>
        </w:rPr>
        <w:t>）中表1散装水泥中转站及水泥制品生产排放限值（颗粒物≤20毫克/立方米）要求。沥青拌合站加热炉使用轻质柴油，沥青加热拌合产生的废气采取</w:t>
      </w:r>
      <w:r>
        <w:rPr>
          <w:rFonts w:ascii="仿宋_GB2312" w:hAnsi="仿宋"/>
          <w:bCs/>
        </w:rPr>
        <w:t>“冷凝+活性炭吸附”</w:t>
      </w:r>
      <w:r>
        <w:rPr>
          <w:rFonts w:hint="eastAsia" w:ascii="仿宋_GB2312" w:hAnsi="仿宋"/>
          <w:bCs/>
        </w:rPr>
        <w:t>处理后由15米高排气筒排放，废气中沥青烟、苯并芘排放浓度、排放速率均满足《大气污染物综合排放标准》（GB16297-1996）表2中二级标准限值（沥青烟排放浓度≤7</w:t>
      </w:r>
      <w:r>
        <w:rPr>
          <w:rFonts w:ascii="仿宋_GB2312" w:hAnsi="仿宋"/>
          <w:bCs/>
        </w:rPr>
        <w:t>5</w:t>
      </w:r>
      <w:r>
        <w:rPr>
          <w:rFonts w:hint="eastAsia" w:ascii="仿宋_GB2312" w:hAnsi="仿宋"/>
          <w:bCs/>
        </w:rPr>
        <w:t>毫克/立方米、排放速率≤0.18千克/小时，苯并芘排放浓度≤0.3微克/立方米、排放速率≤0.05克/小时）。</w:t>
      </w:r>
    </w:p>
    <w:p>
      <w:pPr>
        <w:widowControl/>
        <w:shd w:val="clear" w:color="auto" w:fill="FFFFFF"/>
        <w:spacing w:line="560" w:lineRule="exact"/>
        <w:ind w:firstLine="640" w:firstLineChars="200"/>
        <w:rPr>
          <w:rFonts w:hint="eastAsia" w:ascii="仿宋_GB2312" w:hAnsi="仿宋"/>
          <w:bCs/>
        </w:rPr>
      </w:pPr>
      <w:r>
        <w:rPr>
          <w:rFonts w:hint="eastAsia" w:ascii="仿宋_GB2312" w:hAnsi="仿宋"/>
          <w:bCs/>
        </w:rPr>
        <w:t>加强运营期汽车尾气和道路扬尘治理。强化机动车管理和车辆尾气排放监管，推广符合国家标准的交通工具，减少汽车尾气排放。加强公路路面养护管理，及时修复破损面；加强公路运输管理，禁止超载及运送散装粉状货物无遮盖的车辆上路，减少道路扬尘产生。</w:t>
      </w:r>
    </w:p>
    <w:p>
      <w:pPr>
        <w:widowControl/>
        <w:shd w:val="clear" w:color="auto" w:fill="FFFFFF"/>
        <w:spacing w:line="560" w:lineRule="exact"/>
        <w:ind w:firstLine="640" w:firstLineChars="200"/>
        <w:rPr>
          <w:rFonts w:hint="eastAsia" w:ascii="仿宋_GB2312" w:hAnsi="华文仿宋"/>
        </w:rPr>
      </w:pPr>
      <w:r>
        <w:rPr>
          <w:rFonts w:hint="eastAsia" w:ascii="仿宋_GB2312" w:hAnsi="仿宋"/>
          <w:bCs/>
        </w:rPr>
        <w:t>（四）</w:t>
      </w:r>
      <w:r>
        <w:rPr>
          <w:rFonts w:hint="eastAsia" w:ascii="仿宋_GB2312" w:hAnsi="华文仿宋"/>
        </w:rPr>
        <w:t>强化水环境保护</w:t>
      </w:r>
      <w:r>
        <w:rPr>
          <w:rFonts w:hint="eastAsia" w:ascii="仿宋_GB2312"/>
        </w:rPr>
        <w:t>措施</w:t>
      </w:r>
      <w:r>
        <w:rPr>
          <w:rFonts w:hint="eastAsia" w:ascii="仿宋_GB2312" w:hAnsi="华文仿宋"/>
        </w:rPr>
        <w:t>和环境风险防范。施工废水经隔油沉淀池处理后用于洒水降尘；施工人员生活污水经地埋式一体化化粪池处理达到《农村生活污水处理排放标准</w:t>
      </w:r>
      <w:r>
        <w:rPr>
          <w:rFonts w:ascii="仿宋_GB2312" w:hAnsi="华文仿宋"/>
        </w:rPr>
        <w:t>》（</w:t>
      </w:r>
      <w:r>
        <w:rPr>
          <w:rFonts w:hint="eastAsia" w:ascii="仿宋_GB2312" w:hAnsi="华文仿宋"/>
        </w:rPr>
        <w:t>D</w:t>
      </w:r>
      <w:r>
        <w:rPr>
          <w:rFonts w:ascii="仿宋_GB2312" w:hAnsi="华文仿宋"/>
        </w:rPr>
        <w:t>B654275-2019）</w:t>
      </w:r>
      <w:r>
        <w:rPr>
          <w:rFonts w:hint="eastAsia" w:ascii="仿宋_GB2312" w:hAnsi="华文仿宋"/>
        </w:rPr>
        <w:t>表2中A级限值后用于荒漠植被灌溉。桥涵路段施工应避开农田灌溉期（6月～8月），两端设减速标志，同时关闭上游放水闸门。</w:t>
      </w:r>
      <w:r>
        <w:rPr>
          <w:rFonts w:ascii="仿宋_GB2312" w:hAnsi="华文仿宋"/>
        </w:rPr>
        <w:t>严格控制施工作业范围，临时占地</w:t>
      </w:r>
      <w:r>
        <w:rPr>
          <w:rFonts w:hint="eastAsia" w:ascii="仿宋_GB2312" w:hAnsi="华文仿宋"/>
        </w:rPr>
        <w:t>不得设在</w:t>
      </w:r>
      <w:bookmarkStart w:id="0" w:name="_GoBack"/>
      <w:bookmarkEnd w:id="0"/>
      <w:r>
        <w:rPr>
          <w:rFonts w:hint="eastAsia" w:ascii="仿宋_GB2312" w:hAnsi="华文仿宋"/>
        </w:rPr>
        <w:t>渠道两侧保护范围内，</w:t>
      </w:r>
      <w:r>
        <w:rPr>
          <w:rFonts w:ascii="仿宋_GB2312" w:hAnsi="华文仿宋"/>
        </w:rPr>
        <w:t>及时清运</w:t>
      </w:r>
      <w:r>
        <w:rPr>
          <w:rFonts w:hint="eastAsia" w:ascii="仿宋_GB2312" w:hAnsi="华文仿宋"/>
        </w:rPr>
        <w:t>施工渣土</w:t>
      </w:r>
      <w:r>
        <w:rPr>
          <w:rFonts w:ascii="仿宋_GB2312" w:hAnsi="华文仿宋"/>
        </w:rPr>
        <w:t>，禁止向</w:t>
      </w:r>
      <w:r>
        <w:rPr>
          <w:rFonts w:hint="eastAsia" w:ascii="仿宋_GB2312" w:hAnsi="华文仿宋"/>
        </w:rPr>
        <w:t>渠道</w:t>
      </w:r>
      <w:r>
        <w:rPr>
          <w:rFonts w:ascii="仿宋_GB2312" w:hAnsi="华文仿宋"/>
        </w:rPr>
        <w:t>及</w:t>
      </w:r>
      <w:r>
        <w:rPr>
          <w:rFonts w:hint="eastAsia" w:ascii="仿宋_GB2312" w:hAnsi="华文仿宋"/>
        </w:rPr>
        <w:t>渠道</w:t>
      </w:r>
      <w:r>
        <w:rPr>
          <w:rFonts w:ascii="仿宋_GB2312" w:hAnsi="华文仿宋"/>
        </w:rPr>
        <w:t>周围倾倒渣土</w:t>
      </w:r>
      <w:r>
        <w:rPr>
          <w:rFonts w:hint="eastAsia" w:ascii="仿宋_GB2312" w:hAnsi="华文仿宋"/>
        </w:rPr>
        <w:t>。施工完毕后，及时清理施工现场残留物，恢复施工迹地。</w:t>
      </w:r>
    </w:p>
    <w:p>
      <w:pPr>
        <w:spacing w:line="560" w:lineRule="exact"/>
        <w:ind w:right="-160" w:rightChars="-50" w:firstLine="640" w:firstLineChars="200"/>
        <w:rPr>
          <w:rFonts w:ascii="仿宋_GB2312" w:hAnsi="仿宋"/>
          <w:bCs/>
        </w:rPr>
      </w:pPr>
      <w:r>
        <w:rPr>
          <w:rFonts w:hint="eastAsia" w:ascii="仿宋_GB2312" w:hAnsi="仿宋"/>
          <w:bCs/>
          <w:color w:val="000000"/>
        </w:rPr>
        <w:t>落实</w:t>
      </w:r>
      <w:r>
        <w:rPr>
          <w:rFonts w:ascii="仿宋_GB2312" w:hAnsi="仿宋"/>
          <w:bCs/>
          <w:color w:val="000000"/>
        </w:rPr>
        <w:t>运营期水环境保护措施</w:t>
      </w:r>
      <w:r>
        <w:rPr>
          <w:rFonts w:hint="eastAsia" w:ascii="仿宋_GB2312" w:hAnsi="仿宋"/>
          <w:bCs/>
          <w:color w:val="000000"/>
        </w:rPr>
        <w:t>。</w:t>
      </w:r>
      <w:r>
        <w:rPr>
          <w:rFonts w:ascii="仿宋_GB2312" w:hAnsi="仿宋"/>
          <w:bCs/>
          <w:color w:val="000000"/>
        </w:rPr>
        <w:t>在</w:t>
      </w:r>
      <w:r>
        <w:rPr>
          <w:rFonts w:hint="eastAsia" w:ascii="仿宋_GB2312" w:hAnsi="仿宋"/>
          <w:bCs/>
          <w:color w:val="000000"/>
        </w:rPr>
        <w:t>跨越阿瓦提干渠、阿依巴格干渠、丰收总干渠的桥梁设置防撞护栏，并在桥梁旁</w:t>
      </w:r>
      <w:r>
        <w:rPr>
          <w:rFonts w:ascii="仿宋_GB2312" w:hAnsi="仿宋"/>
          <w:bCs/>
          <w:color w:val="000000"/>
        </w:rPr>
        <w:t>设置</w:t>
      </w:r>
      <w:r>
        <w:rPr>
          <w:rFonts w:hint="eastAsia" w:ascii="仿宋_GB2312" w:hAnsi="仿宋"/>
          <w:bCs/>
          <w:color w:val="000000"/>
        </w:rPr>
        <w:t>限速标志；</w:t>
      </w:r>
      <w:r>
        <w:rPr>
          <w:rFonts w:hint="eastAsia" w:ascii="仿宋_GB2312" w:hAnsi="仿宋"/>
          <w:bCs/>
        </w:rPr>
        <w:t>运载有毒、有害危险品车辆上路必须按国家相关规定报有关管理部门。若发生重大事故，必须立即启动应急预案，通知渠道管理部门关闭上游放水闸，停止放水；同时关闭下游支渠放水，将受污染水控制在有限区段内，由专业技术人员用罐车抽取受污染水，送至专业处置场所处置。</w:t>
      </w:r>
    </w:p>
    <w:p>
      <w:pPr>
        <w:widowControl/>
        <w:shd w:val="clear" w:color="auto" w:fill="FFFFFF"/>
        <w:spacing w:line="560" w:lineRule="exact"/>
        <w:ind w:firstLine="640" w:firstLineChars="200"/>
        <w:rPr>
          <w:rFonts w:hint="eastAsia" w:ascii="仿宋_GB2312"/>
        </w:rPr>
      </w:pPr>
      <w:r>
        <w:rPr>
          <w:rFonts w:hint="eastAsia" w:ascii="仿宋_GB2312" w:hAnsi="仿宋"/>
          <w:bCs/>
        </w:rPr>
        <w:t>（五）</w:t>
      </w:r>
      <w:r>
        <w:rPr>
          <w:rFonts w:hint="eastAsia" w:ascii="仿宋_GB2312"/>
          <w:kern w:val="0"/>
        </w:rPr>
        <w:t>落实</w:t>
      </w:r>
      <w:r>
        <w:rPr>
          <w:rFonts w:hint="eastAsia" w:ascii="仿宋_GB2312" w:hAnsi="仿宋"/>
          <w:bCs/>
        </w:rPr>
        <w:t>固体废物污染</w:t>
      </w:r>
      <w:r>
        <w:rPr>
          <w:rFonts w:hint="eastAsia" w:ascii="仿宋_GB2312"/>
        </w:rPr>
        <w:t>防治措施。施工建筑垃圾、弃渣运至一团和阿瓦提县建筑垃圾填埋场进行处理；弃土运至</w:t>
      </w:r>
      <w:r>
        <w:rPr>
          <w:rFonts w:hint="eastAsia" w:ascii="仿宋_GB2312"/>
          <w:bCs/>
        </w:rPr>
        <w:t>弃土场</w:t>
      </w:r>
      <w:r>
        <w:rPr>
          <w:rFonts w:hint="eastAsia" w:ascii="仿宋_GB2312"/>
        </w:rPr>
        <w:t>；废旧沥青料采用聚乙烯防渗膜包裹后运至阿瓦提县建筑垃圾场填埋处理；项目沥青烟气处理设备产生的废活性炭由施工单位委托有资质单位进行安全处置，禁止在站内暂存和自行处置；临时沉淀池的沉渣、跨越水塘施工产生的钻渣、泥浆定期拉运至弃土场。</w:t>
      </w:r>
      <w:r>
        <w:rPr>
          <w:rFonts w:ascii="仿宋_GB2312"/>
        </w:rPr>
        <w:t>施工生活垃圾集中收集后</w:t>
      </w:r>
      <w:r>
        <w:rPr>
          <w:rFonts w:hint="eastAsia" w:ascii="仿宋_GB2312"/>
        </w:rPr>
        <w:t>，由施工单位定期</w:t>
      </w:r>
      <w:r>
        <w:rPr>
          <w:rFonts w:ascii="仿宋_GB2312"/>
        </w:rPr>
        <w:t>清运至</w:t>
      </w:r>
      <w:r>
        <w:rPr>
          <w:rFonts w:hint="eastAsia" w:ascii="仿宋_GB2312"/>
        </w:rPr>
        <w:t>一团和阿瓦提县</w:t>
      </w:r>
      <w:r>
        <w:rPr>
          <w:rFonts w:ascii="仿宋_GB2312"/>
        </w:rPr>
        <w:t>生活垃圾填埋场</w:t>
      </w:r>
      <w:r>
        <w:rPr>
          <w:rFonts w:hint="eastAsia" w:ascii="仿宋_GB2312"/>
        </w:rPr>
        <w:t>。</w:t>
      </w:r>
    </w:p>
    <w:p>
      <w:pPr>
        <w:pStyle w:val="19"/>
        <w:adjustRightInd w:val="0"/>
        <w:snapToGrid w:val="0"/>
        <w:spacing w:line="560" w:lineRule="exact"/>
        <w:ind w:firstLine="640" w:firstLineChars="200"/>
        <w:jc w:val="both"/>
        <w:rPr>
          <w:rFonts w:ascii="仿宋_GB2312" w:hAnsi="仿宋_GB2312" w:eastAsia="仿宋_GB2312" w:cs="仿宋_GB2312"/>
          <w:color w:val="auto"/>
          <w:kern w:val="2"/>
          <w:sz w:val="32"/>
          <w:szCs w:val="32"/>
        </w:rPr>
      </w:pPr>
      <w:r>
        <w:rPr>
          <w:rFonts w:hint="eastAsia" w:ascii="仿宋_GB2312" w:hAnsi="仿宋" w:eastAsia="仿宋_GB2312"/>
          <w:bCs/>
          <w:color w:val="auto"/>
          <w:kern w:val="2"/>
          <w:sz w:val="32"/>
          <w:szCs w:val="32"/>
        </w:rPr>
        <w:t>（六）</w:t>
      </w:r>
      <w:r>
        <w:rPr>
          <w:rFonts w:hint="eastAsia" w:ascii="仿宋_GB2312" w:eastAsia="仿宋_GB2312"/>
          <w:color w:val="auto"/>
          <w:sz w:val="32"/>
          <w:szCs w:val="32"/>
        </w:rPr>
        <w:t>落实生态恢复和生态补偿措施。</w:t>
      </w:r>
      <w:r>
        <w:rPr>
          <w:rFonts w:hint="eastAsia" w:ascii="仿宋_GB2312" w:hAnsi="仿宋_GB2312" w:eastAsia="仿宋_GB2312" w:cs="仿宋_GB2312"/>
          <w:color w:val="auto"/>
          <w:kern w:val="2"/>
          <w:sz w:val="32"/>
          <w:szCs w:val="32"/>
        </w:rPr>
        <w:t>工程施工须严格按照施工范围进行施工作业;严格按设计规定的取料场、弃土场进行取、弃料作业,禁止随挖随倒；严格限制取、弃土面积取土深度，不得随意扩大取土范围和破坏周围林草植被。</w:t>
      </w:r>
      <w:r>
        <w:rPr>
          <w:rFonts w:hint="eastAsia" w:ascii="仿宋_GB2312" w:eastAsia="仿宋_GB2312"/>
          <w:color w:val="auto"/>
          <w:sz w:val="32"/>
          <w:szCs w:val="32"/>
        </w:rPr>
        <w:t>剥离的耕作层土壤用于土壤改良；</w:t>
      </w:r>
      <w:r>
        <w:rPr>
          <w:rFonts w:hint="eastAsia" w:ascii="仿宋_GB2312" w:hAnsi="仿宋" w:eastAsia="仿宋_GB2312"/>
          <w:kern w:val="2"/>
          <w:sz w:val="32"/>
          <w:szCs w:val="32"/>
        </w:rPr>
        <w:t>施工弃土、弃渣及时运至弃土场回填；风积沙料场剥离的表土单独堆放，施工结束后分层回填。施工结束后对弃土场进行缓坡处理，并</w:t>
      </w:r>
      <w:r>
        <w:rPr>
          <w:rFonts w:hint="eastAsia" w:ascii="仿宋_GB2312" w:hAnsi="仿宋" w:eastAsia="仿宋_GB2312"/>
          <w:color w:val="auto"/>
          <w:kern w:val="2"/>
          <w:sz w:val="32"/>
          <w:szCs w:val="32"/>
        </w:rPr>
        <w:t>做好工程开挖面、施工迹地等临时占地的生态恢复工作。</w:t>
      </w:r>
    </w:p>
    <w:p>
      <w:pPr>
        <w:pStyle w:val="19"/>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五、你单位须严格执行环保“三同时”制度，建设项目竣工后，建设单位应当按照国务院环境保护行政主管部门规定的标准和程序，对配套建设的环境保护设施进行验收，并编制验收报告，验收报告编制完成后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个工作日内在相关网站进行公开，公示期限不得少于</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个工作日，并向我局报送相关信息；验收报告公示期满后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个工作日内，建设单位应当登录“全国建设项目竣工环境保护验收信息平台”（网址为</w:t>
      </w:r>
      <w:r>
        <w:rPr>
          <w:rFonts w:ascii="仿宋_GB2312" w:hAnsi="仿宋_GB2312" w:eastAsia="仿宋_GB2312" w:cs="仿宋_GB2312"/>
          <w:sz w:val="32"/>
          <w:szCs w:val="32"/>
        </w:rPr>
        <w:t>http://114.251.10.205</w:t>
      </w:r>
      <w:r>
        <w:rPr>
          <w:rFonts w:hint="eastAsia" w:ascii="仿宋_GB2312" w:hAnsi="仿宋_GB2312" w:eastAsia="仿宋_GB2312" w:cs="仿宋_GB2312"/>
          <w:sz w:val="32"/>
          <w:szCs w:val="32"/>
        </w:rPr>
        <w:t>），填报建设项目基本信息、环境保护设施验收情况等相关信息。</w:t>
      </w:r>
    </w:p>
    <w:p>
      <w:pPr>
        <w:adjustRightInd w:val="0"/>
        <w:snapToGrid w:val="0"/>
        <w:spacing w:line="560" w:lineRule="exact"/>
        <w:ind w:firstLine="640" w:firstLineChars="200"/>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40" w:firstLineChars="200"/>
        <w:rPr>
          <w:rFonts w:hint="eastAsia" w:ascii="仿宋_GB2312" w:hAnsi="仿宋_GB2312" w:cs="仿宋_GB2312"/>
        </w:rPr>
      </w:pPr>
      <w:r>
        <w:rPr>
          <w:rFonts w:hint="eastAsia" w:ascii="仿宋_GB2312" w:hAnsi="仿宋_GB2312" w:cs="仿宋_GB2312"/>
        </w:rPr>
        <w:t>七、</w:t>
      </w:r>
      <w:r>
        <w:rPr>
          <w:rFonts w:hint="eastAsia" w:ascii="仿宋_GB2312" w:hAnsi="仿宋_GB2312" w:cs="仿宋_GB2312"/>
          <w:lang w:val="en-US" w:eastAsia="zh-CN"/>
        </w:rPr>
        <w:t>交通局</w:t>
      </w:r>
      <w:r>
        <w:rPr>
          <w:rFonts w:hint="eastAsia" w:ascii="仿宋_GB2312" w:hAnsi="仿宋_GB2312" w:cs="仿宋_GB2312"/>
        </w:rPr>
        <w:t>根据《关于印发</w:t>
      </w:r>
      <w:r>
        <w:rPr>
          <w:rFonts w:ascii="仿宋_GB2312" w:hAnsi="仿宋_GB2312" w:cs="仿宋_GB2312"/>
        </w:rPr>
        <w:t>&lt;</w:t>
      </w:r>
      <w:r>
        <w:rPr>
          <w:rFonts w:hint="eastAsia" w:ascii="仿宋_GB2312" w:hAnsi="仿宋_GB2312" w:cs="仿宋_GB2312"/>
        </w:rPr>
        <w:t>第一师阿拉尔市生态环境保护工作职责暂行规定（试行）</w:t>
      </w:r>
      <w:r>
        <w:rPr>
          <w:rFonts w:ascii="仿宋_GB2312" w:hAnsi="仿宋_GB2312" w:cs="仿宋_GB2312"/>
        </w:rPr>
        <w:t>&gt;</w:t>
      </w:r>
      <w:r>
        <w:rPr>
          <w:rFonts w:hint="eastAsia" w:ascii="仿宋_GB2312" w:hAnsi="仿宋_GB2312" w:cs="仿宋_GB2312"/>
        </w:rPr>
        <w:t>的通知》（师市环委办发〔</w:t>
      </w:r>
      <w:r>
        <w:rPr>
          <w:rFonts w:ascii="仿宋_GB2312" w:hAnsi="仿宋_GB2312" w:cs="仿宋_GB2312"/>
        </w:rPr>
        <w:t>2020</w:t>
      </w: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号）要求，做好该项目环境保护管理工作，师市生态环境保护综合行政执法支队做好该项目的抽查日常监督管理工作。</w:t>
      </w:r>
    </w:p>
    <w:p>
      <w:pPr>
        <w:pStyle w:val="2"/>
        <w:rPr>
          <w:rFonts w:hint="eastAsia" w:ascii="仿宋_GB2312" w:hAnsi="仿宋_GB2312" w:cs="仿宋_GB2312"/>
        </w:rPr>
      </w:pPr>
    </w:p>
    <w:p/>
    <w:p>
      <w:pPr>
        <w:pStyle w:val="19"/>
        <w:adjustRightInd w:val="0"/>
        <w:snapToGrid w:val="0"/>
        <w:spacing w:line="560" w:lineRule="exact"/>
        <w:ind w:firstLine="5120" w:firstLineChars="16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第一师阿拉尔市生态环境局</w:t>
      </w:r>
    </w:p>
    <w:p>
      <w:pPr>
        <w:widowControl/>
        <w:adjustRightInd w:val="0"/>
        <w:snapToGrid w:val="0"/>
        <w:spacing w:line="560" w:lineRule="exact"/>
        <w:ind w:right="608" w:firstLine="5920" w:firstLineChars="1850"/>
        <w:rPr>
          <w:rFonts w:ascii="仿宋_GB2312" w:cs="仿宋_GB2312"/>
          <w:kern w:val="0"/>
        </w:rPr>
      </w:pPr>
      <w:r>
        <w:rPr>
          <w:rFonts w:ascii="仿宋_GB2312" w:hAnsi="仿宋_GB2312" w:cs="仿宋_GB2312"/>
          <w:kern w:val="0"/>
        </w:rPr>
        <w:t>2021</w:t>
      </w:r>
      <w:r>
        <w:rPr>
          <w:rFonts w:hint="eastAsia" w:ascii="仿宋_GB2312" w:hAnsi="仿宋_GB2312" w:cs="仿宋_GB2312"/>
          <w:kern w:val="0"/>
        </w:rPr>
        <w:t>年</w:t>
      </w:r>
      <w:r>
        <w:rPr>
          <w:rFonts w:ascii="仿宋_GB2312" w:hAnsi="仿宋_GB2312" w:cs="仿宋_GB2312"/>
          <w:kern w:val="0"/>
        </w:rPr>
        <w:t>6</w:t>
      </w:r>
      <w:r>
        <w:rPr>
          <w:rFonts w:hint="eastAsia" w:ascii="仿宋_GB2312" w:hAnsi="仿宋_GB2312" w:cs="仿宋_GB2312"/>
          <w:kern w:val="0"/>
        </w:rPr>
        <w:t>月</w:t>
      </w:r>
      <w:r>
        <w:rPr>
          <w:rFonts w:ascii="仿宋_GB2312" w:hAnsi="仿宋_GB2312" w:cs="仿宋_GB2312"/>
          <w:kern w:val="0"/>
        </w:rPr>
        <w:t>1</w:t>
      </w:r>
      <w:r>
        <w:rPr>
          <w:rFonts w:hint="eastAsia" w:ascii="仿宋_GB2312" w:hAnsi="仿宋_GB2312" w:cs="仿宋_GB2312"/>
          <w:kern w:val="0"/>
          <w:lang w:val="en-US" w:eastAsia="zh-CN"/>
        </w:rPr>
        <w:t>5</w:t>
      </w:r>
      <w:r>
        <w:rPr>
          <w:rFonts w:hint="eastAsia" w:ascii="仿宋_GB2312" w:hAnsi="仿宋_GB2312" w:cs="仿宋_GB2312"/>
          <w:kern w:val="0"/>
        </w:rPr>
        <w:t>日</w:t>
      </w:r>
    </w:p>
    <w:p/>
    <w:p/>
    <w:p>
      <w:pPr>
        <w:pStyle w:val="2"/>
      </w:pPr>
    </w:p>
    <w:p>
      <w:pPr>
        <w:pStyle w:val="2"/>
        <w:ind w:left="0" w:leftChars="0" w:firstLine="0" w:firstLineChars="0"/>
      </w:pPr>
      <w:r>
        <w:pict>
          <v:line id="_x0000_s1027" o:spid="_x0000_s1027" o:spt="20" style="position:absolute;left:0pt;margin-left:-2.3pt;margin-top:26.3pt;height:0pt;width:464pt;z-index:251659264;mso-width-relative:page;mso-height-relative:page;" coordsize="21600,21600">
            <v:path arrowok="t"/>
            <v:fill focussize="0,0"/>
            <v:stroke weight="1.5pt"/>
            <v:imagedata o:title=""/>
            <o:lock v:ext="edit"/>
          </v:line>
        </w:pict>
      </w:r>
    </w:p>
    <w:p>
      <w:pPr>
        <w:topLinePunct/>
        <w:adjustRightInd w:val="0"/>
        <w:snapToGrid w:val="0"/>
        <w:spacing w:line="520" w:lineRule="exact"/>
        <w:rPr>
          <w:rFonts w:ascii="仿宋_GB2312" w:cs="仿宋_GB2312"/>
          <w:sz w:val="28"/>
          <w:szCs w:val="28"/>
        </w:rPr>
      </w:pPr>
      <w:r>
        <w:rPr>
          <w:rFonts w:hint="eastAsia" w:ascii="仿宋_GB2312" w:hAnsi="仿宋_GB2312" w:cs="仿宋_GB2312"/>
          <w:sz w:val="28"/>
          <w:szCs w:val="28"/>
        </w:rPr>
        <w:t>抄送：师市相关领导，发改委、交通</w:t>
      </w:r>
      <w:r>
        <w:rPr>
          <w:rFonts w:hint="eastAsia" w:ascii="仿宋_GB2312" w:hAnsi="仿宋_GB2312" w:cs="仿宋_GB2312"/>
          <w:sz w:val="28"/>
          <w:szCs w:val="28"/>
          <w:lang w:val="en-US" w:eastAsia="zh-CN"/>
        </w:rPr>
        <w:t>运输</w:t>
      </w:r>
      <w:r>
        <w:rPr>
          <w:rFonts w:hint="eastAsia" w:ascii="仿宋_GB2312" w:hAnsi="仿宋_GB2312" w:cs="仿宋_GB2312"/>
          <w:sz w:val="28"/>
          <w:szCs w:val="28"/>
        </w:rPr>
        <w:t>局、自然资源</w:t>
      </w:r>
      <w:r>
        <w:rPr>
          <w:rFonts w:hint="eastAsia" w:ascii="仿宋_GB2312" w:hAnsi="仿宋_GB2312" w:cs="仿宋_GB2312"/>
          <w:sz w:val="28"/>
          <w:szCs w:val="28"/>
          <w:lang w:val="en-US" w:eastAsia="zh-CN"/>
        </w:rPr>
        <w:t>和规划</w:t>
      </w:r>
      <w:r>
        <w:rPr>
          <w:rFonts w:hint="eastAsia" w:ascii="仿宋_GB2312" w:hAnsi="仿宋_GB2312" w:cs="仿宋_GB2312"/>
          <w:sz w:val="28"/>
          <w:szCs w:val="28"/>
        </w:rPr>
        <w:t>局、一团、生态环境保护综合行政执法支队，新疆兵团勘测设计院（集团）有限责任公司。</w:t>
      </w:r>
    </w:p>
    <w:p>
      <w:pPr>
        <w:topLinePunct/>
        <w:adjustRightInd w:val="0"/>
        <w:snapToGrid w:val="0"/>
        <w:spacing w:line="520" w:lineRule="exact"/>
        <w:rPr>
          <w:rFonts w:ascii="仿宋_GB2312" w:cs="仿宋_GB2312"/>
          <w:sz w:val="28"/>
          <w:szCs w:val="28"/>
        </w:rPr>
      </w:pPr>
      <w:r>
        <w:pict>
          <v:line id="_x0000_s1028" o:spid="_x0000_s1028" o:spt="20" style="position:absolute;left:0pt;margin-left:-4.4pt;margin-top:3.35pt;height:0pt;width:464pt;z-index:251659264;mso-width-relative:page;mso-height-relative:page;" coordsize="21600,21600">
            <v:path arrowok="t"/>
            <v:fill focussize="0,0"/>
            <v:stroke/>
            <v:imagedata o:title=""/>
            <o:lock v:ext="edit"/>
          </v:line>
        </w:pict>
      </w:r>
      <w:r>
        <w:pict>
          <v:line id="_x0000_s1029" o:spid="_x0000_s1029" o:spt="20" style="position:absolute;left:0pt;margin-left:-4.55pt;margin-top:33.55pt;height:0pt;width:464pt;z-index:251659264;mso-width-relative:page;mso-height-relative:page;" coordsize="21600,21600">
            <v:path arrowok="t"/>
            <v:fill focussize="0,0"/>
            <v:stroke weight="1.5pt"/>
            <v:imagedata o:title=""/>
            <o:lock v:ext="edit"/>
          </v:line>
        </w:pict>
      </w:r>
      <w:r>
        <w:rPr>
          <w:rFonts w:hint="eastAsia" w:ascii="仿宋_GB2312" w:hAnsi="仿宋_GB2312" w:cs="仿宋_GB2312"/>
          <w:sz w:val="28"/>
          <w:szCs w:val="28"/>
        </w:rPr>
        <w:t>第一师阿拉尔市生态环境局</w:t>
      </w:r>
      <w:r>
        <w:rPr>
          <w:rFonts w:ascii="仿宋_GB2312" w:hAnsi="仿宋_GB2312" w:cs="仿宋_GB2312"/>
          <w:sz w:val="28"/>
          <w:szCs w:val="28"/>
        </w:rPr>
        <w:t xml:space="preserve">                      2021</w:t>
      </w:r>
      <w:r>
        <w:rPr>
          <w:rFonts w:hint="eastAsia" w:ascii="仿宋_GB2312" w:hAnsi="仿宋_GB2312" w:cs="仿宋_GB2312"/>
          <w:sz w:val="28"/>
          <w:szCs w:val="28"/>
        </w:rPr>
        <w:t>年</w:t>
      </w:r>
      <w:r>
        <w:rPr>
          <w:rFonts w:ascii="仿宋_GB2312" w:hAnsi="仿宋_GB2312" w:cs="仿宋_GB2312"/>
          <w:sz w:val="28"/>
          <w:szCs w:val="28"/>
        </w:rPr>
        <w:t>6</w:t>
      </w:r>
      <w:r>
        <w:rPr>
          <w:rFonts w:hint="eastAsia" w:ascii="仿宋_GB2312" w:hAnsi="仿宋_GB2312" w:cs="仿宋_GB2312"/>
          <w:sz w:val="28"/>
          <w:szCs w:val="28"/>
        </w:rPr>
        <w:t>月</w:t>
      </w:r>
      <w:r>
        <w:rPr>
          <w:rFonts w:ascii="仿宋_GB2312" w:hAnsi="仿宋_GB2312" w:cs="仿宋_GB2312"/>
          <w:sz w:val="28"/>
          <w:szCs w:val="28"/>
        </w:rPr>
        <w:t>1</w:t>
      </w:r>
      <w:r>
        <w:rPr>
          <w:rFonts w:hint="eastAsia" w:ascii="仿宋_GB2312" w:hAnsi="仿宋_GB2312" w:cs="仿宋_GB2312"/>
          <w:sz w:val="28"/>
          <w:szCs w:val="28"/>
          <w:lang w:val="en-US" w:eastAsia="zh-CN"/>
        </w:rPr>
        <w:t>5</w:t>
      </w:r>
      <w:r>
        <w:rPr>
          <w:rFonts w:hint="eastAsia" w:ascii="仿宋_GB2312" w:hAnsi="仿宋_GB2312" w:cs="仿宋_GB2312"/>
          <w:sz w:val="28"/>
          <w:szCs w:val="28"/>
        </w:rPr>
        <w:t>日印发</w:t>
      </w:r>
    </w:p>
    <w:sectPr>
      <w:footerReference r:id="rId3" w:type="default"/>
      <w:pgSz w:w="11906" w:h="16838"/>
      <w:pgMar w:top="1588" w:right="1247" w:bottom="1474" w:left="1474"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黑体"/>
    <w:panose1 w:val="00000000000000000000"/>
    <w:charset w:val="86"/>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85"/>
        <w:tab w:val="clear" w:pos="4153"/>
      </w:tabs>
      <w:rPr>
        <w:rFonts w:hint="default"/>
        <w:lang w:val="en-US"/>
      </w:rPr>
    </w:pPr>
    <w:r>
      <w:rPr>
        <w:sz w:val="18"/>
      </w:rPr>
      <w:pict>
        <v:shape id="_x0000_s2049" o:spid="_x0000_s2049" o:spt="202" type="#_x0000_t202" style="position:absolute;left:0pt;margin-left:445.9pt;margin-top:-0.65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r>
      <w:rPr>
        <w:rFonts w:hint="eastAsia"/>
        <w:lang w:eastAsia="zh-CN"/>
      </w:rPr>
      <w:tab/>
    </w:r>
    <w:r>
      <w:rPr>
        <w:rFonts w:hint="eastAsia"/>
        <w:lang w:eastAsia="zh-CN"/>
      </w:rPr>
      <w:t>—</w: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7FCF3"/>
    <w:multiLevelType w:val="singleLevel"/>
    <w:tmpl w:val="AB27FCF3"/>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60"/>
  <w:drawingGridVerticalSpacing w:val="435"/>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5DA"/>
    <w:rsid w:val="000562A9"/>
    <w:rsid w:val="000611DE"/>
    <w:rsid w:val="000C7195"/>
    <w:rsid w:val="00172A27"/>
    <w:rsid w:val="001A1309"/>
    <w:rsid w:val="001A2C18"/>
    <w:rsid w:val="0029537D"/>
    <w:rsid w:val="002C0EBB"/>
    <w:rsid w:val="002C58F7"/>
    <w:rsid w:val="00345AD5"/>
    <w:rsid w:val="0038620A"/>
    <w:rsid w:val="003A608D"/>
    <w:rsid w:val="003A68FB"/>
    <w:rsid w:val="0041367A"/>
    <w:rsid w:val="00423456"/>
    <w:rsid w:val="00467CF0"/>
    <w:rsid w:val="004D6811"/>
    <w:rsid w:val="00513606"/>
    <w:rsid w:val="00563CC3"/>
    <w:rsid w:val="00587916"/>
    <w:rsid w:val="005A6EF5"/>
    <w:rsid w:val="005D5CD8"/>
    <w:rsid w:val="005E0BCD"/>
    <w:rsid w:val="005F5AF0"/>
    <w:rsid w:val="00604D48"/>
    <w:rsid w:val="00645579"/>
    <w:rsid w:val="006833FC"/>
    <w:rsid w:val="00684050"/>
    <w:rsid w:val="00694538"/>
    <w:rsid w:val="00694998"/>
    <w:rsid w:val="0074217C"/>
    <w:rsid w:val="00744EF0"/>
    <w:rsid w:val="00782BF3"/>
    <w:rsid w:val="007C0B2B"/>
    <w:rsid w:val="007F6352"/>
    <w:rsid w:val="00841388"/>
    <w:rsid w:val="008803D8"/>
    <w:rsid w:val="008A0B24"/>
    <w:rsid w:val="009678C1"/>
    <w:rsid w:val="0097786E"/>
    <w:rsid w:val="009A0AFF"/>
    <w:rsid w:val="009B01C1"/>
    <w:rsid w:val="009D7E23"/>
    <w:rsid w:val="009E1F78"/>
    <w:rsid w:val="00A034D6"/>
    <w:rsid w:val="00A153A1"/>
    <w:rsid w:val="00A7360E"/>
    <w:rsid w:val="00A75906"/>
    <w:rsid w:val="00A900C6"/>
    <w:rsid w:val="00AA233E"/>
    <w:rsid w:val="00B17589"/>
    <w:rsid w:val="00B21F2D"/>
    <w:rsid w:val="00B4375F"/>
    <w:rsid w:val="00BD244D"/>
    <w:rsid w:val="00C11941"/>
    <w:rsid w:val="00C2108C"/>
    <w:rsid w:val="00C70106"/>
    <w:rsid w:val="00CA7DF6"/>
    <w:rsid w:val="00CD2513"/>
    <w:rsid w:val="00CD581C"/>
    <w:rsid w:val="00CD6225"/>
    <w:rsid w:val="00CE3498"/>
    <w:rsid w:val="00CF4EBC"/>
    <w:rsid w:val="00D13B1E"/>
    <w:rsid w:val="00D16671"/>
    <w:rsid w:val="00D17704"/>
    <w:rsid w:val="00D20600"/>
    <w:rsid w:val="00D41E68"/>
    <w:rsid w:val="00D61783"/>
    <w:rsid w:val="00D732B2"/>
    <w:rsid w:val="00DB6B87"/>
    <w:rsid w:val="00DD1D5F"/>
    <w:rsid w:val="00DF1AB1"/>
    <w:rsid w:val="00E71CC9"/>
    <w:rsid w:val="00E76082"/>
    <w:rsid w:val="00E8395D"/>
    <w:rsid w:val="00E97E35"/>
    <w:rsid w:val="00EE3280"/>
    <w:rsid w:val="00F138D0"/>
    <w:rsid w:val="00F8041C"/>
    <w:rsid w:val="00F80817"/>
    <w:rsid w:val="00FA5618"/>
    <w:rsid w:val="00FE4ACD"/>
    <w:rsid w:val="00FE4F45"/>
    <w:rsid w:val="00FE6BBA"/>
    <w:rsid w:val="00FF7163"/>
    <w:rsid w:val="00FF7E42"/>
    <w:rsid w:val="0A5E71BF"/>
    <w:rsid w:val="0FFD0E0F"/>
    <w:rsid w:val="22F51964"/>
    <w:rsid w:val="31F676CD"/>
    <w:rsid w:val="374F1E42"/>
    <w:rsid w:val="535122A0"/>
    <w:rsid w:val="5BA075BB"/>
    <w:rsid w:val="623C60F4"/>
    <w:rsid w:val="70A77276"/>
    <w:rsid w:val="7E515B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nhideWhenUsed="0" w:uiPriority="99" w:semiHidden="0"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5">
    <w:name w:val="heading 2"/>
    <w:basedOn w:val="1"/>
    <w:next w:val="1"/>
    <w:link w:val="12"/>
    <w:qFormat/>
    <w:uiPriority w:val="99"/>
    <w:pPr>
      <w:keepNext/>
      <w:keepLines/>
      <w:spacing w:line="416" w:lineRule="auto"/>
      <w:outlineLvl w:val="1"/>
    </w:pPr>
    <w:rPr>
      <w:rFonts w:ascii="Arial" w:hAnsi="Arial" w:eastAsia="黑体"/>
      <w:b/>
      <w:bCs/>
    </w:rPr>
  </w:style>
  <w:style w:type="paragraph" w:styleId="4">
    <w:name w:val="heading 4"/>
    <w:basedOn w:val="1"/>
    <w:next w:val="1"/>
    <w:link w:val="13"/>
    <w:qFormat/>
    <w:uiPriority w:val="99"/>
    <w:pPr>
      <w:keepNext/>
      <w:keepLines/>
      <w:spacing w:before="280" w:after="290" w:line="376" w:lineRule="auto"/>
      <w:outlineLvl w:val="3"/>
    </w:pPr>
    <w:rPr>
      <w:rFonts w:ascii="Arial" w:hAnsi="Arial" w:eastAsia="黑体"/>
      <w:b/>
      <w:bCs/>
      <w:sz w:val="28"/>
      <w:szCs w:val="28"/>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link w:val="15"/>
    <w:uiPriority w:val="99"/>
    <w:pPr>
      <w:ind w:firstLine="420" w:firstLineChars="200"/>
    </w:pPr>
  </w:style>
  <w:style w:type="paragraph" w:styleId="3">
    <w:name w:val="Body Text Indent"/>
    <w:basedOn w:val="1"/>
    <w:next w:val="4"/>
    <w:link w:val="14"/>
    <w:semiHidden/>
    <w:uiPriority w:val="99"/>
    <w:pPr>
      <w:spacing w:after="120"/>
      <w:ind w:left="420" w:leftChars="200"/>
    </w:pPr>
  </w:style>
  <w:style w:type="paragraph" w:styleId="6">
    <w:name w:val="Normal Indent"/>
    <w:basedOn w:val="1"/>
    <w:uiPriority w:val="99"/>
    <w:pPr>
      <w:spacing w:line="600" w:lineRule="exact"/>
      <w:ind w:firstLine="420"/>
    </w:pPr>
    <w:rPr>
      <w:rFonts w:ascii="宋体" w:hAnsi="宋体" w:eastAsia="宋体" w:cs="宋体"/>
    </w:rPr>
  </w:style>
  <w:style w:type="paragraph" w:styleId="7">
    <w:name w:val="Body Text"/>
    <w:basedOn w:val="1"/>
    <w:link w:val="16"/>
    <w:uiPriority w:val="99"/>
    <w:pPr>
      <w:spacing w:after="120"/>
    </w:pPr>
    <w:rPr>
      <w:rFonts w:eastAsia="宋体"/>
    </w:rPr>
  </w:style>
  <w:style w:type="paragraph" w:styleId="8">
    <w:name w:val="footer"/>
    <w:basedOn w:val="1"/>
    <w:link w:val="17"/>
    <w:uiPriority w:val="99"/>
    <w:pPr>
      <w:tabs>
        <w:tab w:val="center" w:pos="4153"/>
        <w:tab w:val="right" w:pos="8306"/>
      </w:tabs>
      <w:snapToGrid w:val="0"/>
      <w:jc w:val="left"/>
    </w:pPr>
    <w:rPr>
      <w:sz w:val="18"/>
      <w:szCs w:val="18"/>
    </w:rPr>
  </w:style>
  <w:style w:type="paragraph" w:styleId="9">
    <w:name w:val="header"/>
    <w:basedOn w:val="1"/>
    <w:link w:val="18"/>
    <w:uiPriority w:val="99"/>
    <w:pPr>
      <w:pBdr>
        <w:bottom w:val="single" w:color="auto" w:sz="6" w:space="1"/>
      </w:pBdr>
      <w:tabs>
        <w:tab w:val="center" w:pos="4153"/>
        <w:tab w:val="right" w:pos="8306"/>
      </w:tabs>
      <w:snapToGrid w:val="0"/>
      <w:jc w:val="center"/>
    </w:pPr>
    <w:rPr>
      <w:sz w:val="18"/>
      <w:szCs w:val="18"/>
    </w:rPr>
  </w:style>
  <w:style w:type="character" w:customStyle="1" w:styleId="12">
    <w:name w:val="标题 2 Char"/>
    <w:link w:val="5"/>
    <w:locked/>
    <w:uiPriority w:val="99"/>
    <w:rPr>
      <w:rFonts w:ascii="Arial" w:hAnsi="Arial" w:eastAsia="黑体" w:cs="Times New Roman"/>
      <w:b/>
      <w:bCs/>
      <w:sz w:val="32"/>
      <w:szCs w:val="32"/>
    </w:rPr>
  </w:style>
  <w:style w:type="character" w:customStyle="1" w:styleId="13">
    <w:name w:val="标题 4 Char"/>
    <w:link w:val="4"/>
    <w:semiHidden/>
    <w:uiPriority w:val="9"/>
    <w:rPr>
      <w:rFonts w:ascii="Cambria" w:hAnsi="Cambria" w:eastAsia="宋体" w:cs="Times New Roman"/>
      <w:b/>
      <w:bCs/>
      <w:sz w:val="28"/>
      <w:szCs w:val="28"/>
    </w:rPr>
  </w:style>
  <w:style w:type="character" w:customStyle="1" w:styleId="14">
    <w:name w:val="正文文本缩进 Char"/>
    <w:link w:val="3"/>
    <w:semiHidden/>
    <w:uiPriority w:val="99"/>
    <w:rPr>
      <w:rFonts w:eastAsia="仿宋_GB2312"/>
      <w:sz w:val="32"/>
      <w:szCs w:val="32"/>
    </w:rPr>
  </w:style>
  <w:style w:type="character" w:customStyle="1" w:styleId="15">
    <w:name w:val="正文首行缩进 2 Char"/>
    <w:basedOn w:val="14"/>
    <w:link w:val="2"/>
    <w:semiHidden/>
    <w:uiPriority w:val="99"/>
    <w:rPr>
      <w:rFonts w:eastAsia="仿宋_GB2312"/>
      <w:sz w:val="32"/>
      <w:szCs w:val="32"/>
    </w:rPr>
  </w:style>
  <w:style w:type="character" w:customStyle="1" w:styleId="16">
    <w:name w:val="正文文本 Char"/>
    <w:link w:val="7"/>
    <w:locked/>
    <w:uiPriority w:val="99"/>
    <w:rPr>
      <w:rFonts w:ascii="Times New Roman" w:hAnsi="Times New Roman" w:eastAsia="宋体" w:cs="Times New Roman"/>
      <w:sz w:val="32"/>
      <w:szCs w:val="32"/>
    </w:rPr>
  </w:style>
  <w:style w:type="character" w:customStyle="1" w:styleId="17">
    <w:name w:val="页脚 Char"/>
    <w:link w:val="8"/>
    <w:locked/>
    <w:uiPriority w:val="99"/>
    <w:rPr>
      <w:rFonts w:cs="Times New Roman"/>
      <w:sz w:val="18"/>
      <w:szCs w:val="18"/>
    </w:rPr>
  </w:style>
  <w:style w:type="character" w:customStyle="1" w:styleId="18">
    <w:name w:val="页眉 Char"/>
    <w:link w:val="9"/>
    <w:locked/>
    <w:uiPriority w:val="99"/>
    <w:rPr>
      <w:rFonts w:cs="Times New Roman"/>
      <w:sz w:val="18"/>
      <w:szCs w:val="18"/>
    </w:rPr>
  </w:style>
  <w:style w:type="paragraph" w:customStyle="1" w:styleId="19">
    <w:name w:val="Default"/>
    <w:basedOn w:val="1"/>
    <w:uiPriority w:val="99"/>
    <w:pPr>
      <w:autoSpaceDE w:val="0"/>
      <w:autoSpaceDN w:val="0"/>
      <w:jc w:val="left"/>
    </w:pPr>
    <w:rPr>
      <w:rFonts w:ascii="宋体" w:eastAsia="宋体"/>
      <w:color w:val="000000"/>
      <w:kern w:val="0"/>
      <w:sz w:val="24"/>
      <w:szCs w:val="24"/>
    </w:rPr>
  </w:style>
  <w:style w:type="paragraph" w:styleId="20">
    <w:name w:val="List Paragraph"/>
    <w:basedOn w:val="1"/>
    <w:qFormat/>
    <w:uiPriority w:val="99"/>
    <w:pPr>
      <w:ind w:firstLine="420" w:firstLineChars="200"/>
    </w:pPr>
  </w:style>
  <w:style w:type="character" w:customStyle="1" w:styleId="21">
    <w:name w:val="fontstyle01"/>
    <w:qFormat/>
    <w:uiPriority w:val="99"/>
    <w:rPr>
      <w:rFonts w:ascii="宋体" w:hAnsi="宋体" w:eastAsia="宋体" w:cs="Times New Roman"/>
      <w:color w:val="000000"/>
      <w:sz w:val="24"/>
      <w:szCs w:val="24"/>
    </w:rPr>
  </w:style>
  <w:style w:type="character" w:customStyle="1" w:styleId="22">
    <w:name w:val="fontstyle21"/>
    <w:uiPriority w:val="99"/>
    <w:rPr>
      <w:rFonts w:ascii="TimesNewRomanPSMT" w:eastAsia="TimesNewRomanPSMT" w:cs="Times New Roman"/>
      <w:color w:val="000000"/>
      <w:sz w:val="24"/>
      <w:szCs w:val="24"/>
    </w:rPr>
  </w:style>
  <w:style w:type="paragraph" w:customStyle="1" w:styleId="23">
    <w:name w:val="正文LLLLLLL"/>
    <w:basedOn w:val="1"/>
    <w:qFormat/>
    <w:uiPriority w:val="99"/>
    <w:pPr>
      <w:spacing w:line="520" w:lineRule="exact"/>
      <w:ind w:firstLine="578" w:firstLineChars="200"/>
    </w:pPr>
    <w:rPr>
      <w:rFonts w:eastAsia="宋体"/>
      <w:kern w:val="0"/>
      <w:sz w:val="28"/>
      <w:szCs w:val="20"/>
    </w:rPr>
  </w:style>
  <w:style w:type="character" w:customStyle="1" w:styleId="24">
    <w:name w:val="Char Char1"/>
    <w:qFormat/>
    <w:uiPriority w:val="99"/>
    <w:rPr>
      <w:kern w:val="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HkUser.com</Company>
  <Pages>6</Pages>
  <Words>1663</Words>
  <Characters>1897</Characters>
  <Lines>158</Lines>
  <Paragraphs>136</Paragraphs>
  <TotalTime>301</TotalTime>
  <ScaleCrop>false</ScaleCrop>
  <LinksUpToDate>false</LinksUpToDate>
  <CharactersWithSpaces>3424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2021-02-01T03:06:00Z</dcterms:created>
  <dc:creator>Lenovo</dc:creator>
  <cp:lastModifiedBy>陌</cp:lastModifiedBy>
  <cp:lastPrinted>2021-06-16T11:01:23Z</cp:lastPrinted>
  <dcterms:modified xsi:type="dcterms:W3CDTF">2021-06-16T11:03:09Z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25AA38BAF95D4162A230B17BDAAD1447</vt:lpwstr>
  </property>
</Properties>
</file>