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eastAsia="黑体"/>
          <w:sz w:val="44"/>
          <w:szCs w:val="44"/>
          <w:lang w:val="en-US" w:eastAsia="zh-CN"/>
        </w:rPr>
      </w:pPr>
      <w:r>
        <w:rPr>
          <w:rFonts w:hint="eastAsia" w:ascii="黑体" w:eastAsia="黑体"/>
          <w:lang w:val="en-US" w:eastAsia="zh-CN"/>
        </w:rPr>
        <w:t xml:space="preserve"> </w:t>
      </w:r>
    </w:p>
    <w:p>
      <w:pPr>
        <w:pStyle w:val="7"/>
        <w:rPr>
          <w:sz w:val="44"/>
          <w:szCs w:val="44"/>
        </w:rPr>
      </w:pPr>
    </w:p>
    <w:p>
      <w:pPr>
        <w:spacing w:line="560" w:lineRule="exact"/>
        <w:rPr>
          <w:sz w:val="44"/>
          <w:szCs w:val="44"/>
        </w:rPr>
      </w:pPr>
    </w:p>
    <w:p>
      <w:pPr>
        <w:spacing w:line="560" w:lineRule="exact"/>
        <w:rPr>
          <w:sz w:val="44"/>
          <w:szCs w:val="44"/>
        </w:rPr>
      </w:pPr>
    </w:p>
    <w:p>
      <w:pPr>
        <w:pStyle w:val="15"/>
        <w:rPr>
          <w:rFonts w:hint="default"/>
          <w:sz w:val="44"/>
          <w:szCs w:val="44"/>
        </w:rPr>
      </w:pPr>
      <w:bookmarkStart w:id="0" w:name="_GoBack"/>
      <w:bookmarkEnd w:id="0"/>
    </w:p>
    <w:p>
      <w:pPr>
        <w:pStyle w:val="15"/>
        <w:rPr>
          <w:rFonts w:hint="default"/>
          <w:sz w:val="44"/>
          <w:szCs w:val="44"/>
        </w:rPr>
      </w:pPr>
    </w:p>
    <w:p>
      <w:pPr>
        <w:spacing w:line="560" w:lineRule="exact"/>
        <w:rPr>
          <w:sz w:val="44"/>
          <w:szCs w:val="44"/>
        </w:rPr>
      </w:pPr>
      <w:r>
        <w:rPr>
          <w:sz w:val="44"/>
          <w:szCs w:val="44"/>
        </w:rPr>
        <mc:AlternateContent>
          <mc:Choice Requires="wps">
            <w:drawing>
              <wp:anchor distT="0" distB="0" distL="114300" distR="114300" simplePos="0" relativeHeight="251660288" behindDoc="0" locked="0" layoutInCell="1" allowOverlap="1">
                <wp:simplePos x="0" y="0"/>
                <wp:positionH relativeFrom="column">
                  <wp:posOffset>1257300</wp:posOffset>
                </wp:positionH>
                <wp:positionV relativeFrom="paragraph">
                  <wp:posOffset>139700</wp:posOffset>
                </wp:positionV>
                <wp:extent cx="2948940" cy="501650"/>
                <wp:effectExtent l="4445" t="4445" r="18415" b="12065"/>
                <wp:wrapNone/>
                <wp:docPr id="1" name="文本框 1"/>
                <wp:cNvGraphicFramePr/>
                <a:graphic xmlns:a="http://schemas.openxmlformats.org/drawingml/2006/main">
                  <a:graphicData uri="http://schemas.microsoft.com/office/word/2010/wordprocessingShape">
                    <wps:wsp>
                      <wps:cNvSpPr txBox="1"/>
                      <wps:spPr>
                        <a:xfrm>
                          <a:off x="0" y="0"/>
                          <a:ext cx="2948940" cy="50165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pPr>
                              <w:tabs>
                                <w:tab w:val="left" w:pos="912"/>
                                <w:tab w:val="left" w:pos="1216"/>
                                <w:tab w:val="left" w:pos="1520"/>
                                <w:tab w:val="left" w:pos="1672"/>
                                <w:tab w:val="left" w:pos="1824"/>
                                <w:tab w:val="left" w:pos="1976"/>
                                <w:tab w:val="left" w:pos="2128"/>
                                <w:tab w:val="left" w:pos="2280"/>
                              </w:tabs>
                              <w:jc w:val="center"/>
                            </w:pPr>
                            <w:r>
                              <w:rPr>
                                <w:rFonts w:hint="eastAsia"/>
                              </w:rPr>
                              <w:t>师市环审〔</w:t>
                            </w:r>
                            <w:r>
                              <w:t>20</w:t>
                            </w:r>
                            <w:r>
                              <w:rPr>
                                <w:rFonts w:hint="eastAsia"/>
                              </w:rPr>
                              <w:t>21〕</w:t>
                            </w:r>
                            <w:r>
                              <w:rPr>
                                <w:rFonts w:hint="eastAsia"/>
                                <w:color w:val="FF0000"/>
                                <w:lang w:val="en-US" w:eastAsia="zh-CN"/>
                              </w:rPr>
                              <w:t>49</w:t>
                            </w:r>
                            <w:r>
                              <w:rPr>
                                <w:rFonts w:hint="eastAsia"/>
                              </w:rPr>
                              <w:t>号</w:t>
                            </w:r>
                          </w:p>
                        </w:txbxContent>
                      </wps:txbx>
                      <wps:bodyPr upright="1"/>
                    </wps:wsp>
                  </a:graphicData>
                </a:graphic>
              </wp:anchor>
            </w:drawing>
          </mc:Choice>
          <mc:Fallback>
            <w:pict>
              <v:shape id="_x0000_s1026" o:spid="_x0000_s1026" o:spt="202" type="#_x0000_t202" style="position:absolute;left:0pt;margin-left:99pt;margin-top:11pt;height:39.5pt;width:232.2pt;z-index:251660288;mso-width-relative:page;mso-height-relative:page;" fillcolor="#FFFFFF" filled="t" stroked="t" coordsize="21600,21600" o:gfxdata="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TX7kvdcAAAAKAQAADwAAAAAAAAABACAA&#10;AAAiAAAAZHJzL2Rvd25yZXYueG1sUEsBAhQAFAAAAAgAh07iQFv/waQOAgAARAQAAA4AAAAAAAAA&#10;AQAgAAAAJgEAAGRycy9lMm9Eb2MueG1sUEsFBgAAAAAGAAYAWQEAAKYFAAAAAA==&#10;">
                <v:fill on="t" focussize="0,0"/>
                <v:stroke color="#FFFFFF" joinstyle="miter"/>
                <v:imagedata o:title=""/>
                <o:lock v:ext="edit" aspectratio="f"/>
                <v:textbox>
                  <w:txbxContent>
                    <w:p>
                      <w:pPr>
                        <w:tabs>
                          <w:tab w:val="left" w:pos="912"/>
                          <w:tab w:val="left" w:pos="1216"/>
                          <w:tab w:val="left" w:pos="1520"/>
                          <w:tab w:val="left" w:pos="1672"/>
                          <w:tab w:val="left" w:pos="1824"/>
                          <w:tab w:val="left" w:pos="1976"/>
                          <w:tab w:val="left" w:pos="2128"/>
                          <w:tab w:val="left" w:pos="2280"/>
                        </w:tabs>
                        <w:jc w:val="center"/>
                      </w:pPr>
                      <w:r>
                        <w:rPr>
                          <w:rFonts w:hint="eastAsia"/>
                        </w:rPr>
                        <w:t>师市环审〔</w:t>
                      </w:r>
                      <w:r>
                        <w:t>20</w:t>
                      </w:r>
                      <w:r>
                        <w:rPr>
                          <w:rFonts w:hint="eastAsia"/>
                        </w:rPr>
                        <w:t>21〕</w:t>
                      </w:r>
                      <w:r>
                        <w:rPr>
                          <w:rFonts w:hint="eastAsia"/>
                          <w:color w:val="FF0000"/>
                          <w:lang w:val="en-US" w:eastAsia="zh-CN"/>
                        </w:rPr>
                        <w:t>49</w:t>
                      </w:r>
                      <w:r>
                        <w:rPr>
                          <w:rFonts w:hint="eastAsia"/>
                        </w:rPr>
                        <w:t>号</w:t>
                      </w:r>
                    </w:p>
                  </w:txbxContent>
                </v:textbox>
              </v:shape>
            </w:pict>
          </mc:Fallback>
        </mc:AlternateContent>
      </w:r>
    </w:p>
    <w:p>
      <w:pPr>
        <w:spacing w:line="560" w:lineRule="exact"/>
        <w:jc w:val="both"/>
      </w:pPr>
    </w:p>
    <w:p>
      <w:pPr>
        <w:spacing w:line="64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bCs/>
          <w:sz w:val="44"/>
          <w:szCs w:val="44"/>
        </w:rPr>
        <w:t>新疆生产建设兵团南疆大中型灌区骨干</w:t>
      </w: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Cs/>
          <w:sz w:val="44"/>
          <w:szCs w:val="44"/>
        </w:rPr>
        <w:t>工程节水改造第一师沙井子灌区二团骨干工程项目</w:t>
      </w:r>
      <w:r>
        <w:rPr>
          <w:rFonts w:hint="eastAsia" w:ascii="方正小标宋简体" w:hAnsi="方正小标宋简体" w:eastAsia="方正小标宋简体" w:cs="方正小标宋简体"/>
          <w:sz w:val="44"/>
          <w:szCs w:val="44"/>
        </w:rPr>
        <w:t>环境影响报告表的批复</w:t>
      </w:r>
    </w:p>
    <w:p/>
    <w:p>
      <w:pPr>
        <w:pStyle w:val="15"/>
        <w:keepNext w:val="0"/>
        <w:keepLines w:val="0"/>
        <w:pageBreakBefore w:val="0"/>
        <w:widowControl w:val="0"/>
        <w:kinsoku/>
        <w:wordWrap/>
        <w:overflowPunct/>
        <w:topLinePunct w:val="0"/>
        <w:bidi w:val="0"/>
        <w:spacing w:line="540" w:lineRule="exact"/>
        <w:textAlignment w:val="auto"/>
        <w:rPr>
          <w:rFonts w:hint="default" w:ascii="仿宋_GB2312" w:hAnsi="方正小标宋简体" w:eastAsia="仿宋_GB2312" w:cs="方正小标宋简体"/>
          <w:bCs/>
          <w:sz w:val="32"/>
          <w:szCs w:val="32"/>
        </w:rPr>
      </w:pPr>
      <w:r>
        <w:rPr>
          <w:rFonts w:hint="eastAsia" w:ascii="仿宋_GB2312" w:hAnsi="方正小标宋简体" w:eastAsia="仿宋_GB2312" w:cs="方正小标宋简体"/>
          <w:bCs/>
          <w:sz w:val="32"/>
          <w:szCs w:val="32"/>
        </w:rPr>
        <w:t xml:space="preserve">第一师水利工程建设管理处 </w:t>
      </w:r>
      <w:r>
        <w:rPr>
          <w:rFonts w:ascii="仿宋_GB2312" w:hAnsi="方正小标宋简体" w:eastAsia="仿宋_GB2312" w:cs="方正小标宋简体"/>
          <w:bCs/>
          <w:sz w:val="32"/>
          <w:szCs w:val="32"/>
        </w:rPr>
        <w:t>：</w:t>
      </w:r>
    </w:p>
    <w:p>
      <w:pPr>
        <w:keepNext w:val="0"/>
        <w:keepLines w:val="0"/>
        <w:pageBreakBefore w:val="0"/>
        <w:widowControl w:val="0"/>
        <w:kinsoku/>
        <w:wordWrap/>
        <w:overflowPunct/>
        <w:topLinePunct w:val="0"/>
        <w:bidi w:val="0"/>
        <w:adjustRightInd w:val="0"/>
        <w:snapToGrid w:val="0"/>
        <w:spacing w:line="540" w:lineRule="exact"/>
        <w:ind w:firstLine="640" w:firstLineChars="200"/>
        <w:textAlignment w:val="auto"/>
        <w:rPr>
          <w:rFonts w:ascii="仿宋_GB2312"/>
        </w:rPr>
      </w:pPr>
      <w:r>
        <w:rPr>
          <w:rFonts w:hint="eastAsia" w:ascii="仿宋_GB2312"/>
        </w:rPr>
        <w:t>你单位报送的《关于送审</w:t>
      </w:r>
      <w:r>
        <w:rPr>
          <w:rFonts w:hint="eastAsia" w:ascii="仿宋_GB2312" w:hAnsi="方正小标宋简体" w:cs="方正小标宋简体"/>
          <w:bCs/>
        </w:rPr>
        <w:t>新疆生产建设兵团南疆大中型灌区骨干工程节水改造第一师沙井子灌区二团骨干工程项目</w:t>
      </w:r>
      <w:r>
        <w:rPr>
          <w:rFonts w:hint="eastAsia" w:ascii="仿宋_GB2312"/>
        </w:rPr>
        <w:t>环境影响报告表的请示》及《</w:t>
      </w:r>
      <w:r>
        <w:rPr>
          <w:rFonts w:hint="eastAsia" w:ascii="仿宋_GB2312" w:hAnsi="方正小标宋简体" w:cs="方正小标宋简体"/>
          <w:bCs/>
        </w:rPr>
        <w:t>新疆生产建设兵团南疆大中型灌区骨干工程节水改造第一师沙井子灌区二团骨干工程项目</w:t>
      </w:r>
      <w:r>
        <w:rPr>
          <w:rFonts w:hint="eastAsia" w:ascii="仿宋_GB2312"/>
        </w:rPr>
        <w:t>环境影响报告表》（以下简称“报告表”）收悉。经专家审查和研究，现批复如下：</w:t>
      </w:r>
    </w:p>
    <w:p>
      <w:pPr>
        <w:keepNext w:val="0"/>
        <w:keepLines w:val="0"/>
        <w:pageBreakBefore w:val="0"/>
        <w:widowControl w:val="0"/>
        <w:kinsoku/>
        <w:wordWrap/>
        <w:overflowPunct/>
        <w:topLinePunct w:val="0"/>
        <w:bidi w:val="0"/>
        <w:adjustRightInd w:val="0"/>
        <w:snapToGrid w:val="0"/>
        <w:spacing w:line="540" w:lineRule="exact"/>
        <w:ind w:firstLine="630"/>
        <w:textAlignment w:val="auto"/>
        <w:rPr>
          <w:rFonts w:hint="eastAsia" w:ascii="仿宋_GB2312" w:hAnsi="宋体" w:eastAsia="仿宋_GB2312" w:cs="宋体"/>
          <w:kern w:val="0"/>
          <w:lang w:eastAsia="zh-CN"/>
        </w:rPr>
      </w:pPr>
      <w:r>
        <w:rPr>
          <w:rFonts w:hint="eastAsia" w:ascii="仿宋_GB2312" w:hAnsi="仿宋_GB2312" w:cs="仿宋_GB2312"/>
        </w:rPr>
        <w:t>一、该项目位于</w:t>
      </w:r>
      <w:r>
        <w:rPr>
          <w:rFonts w:hint="eastAsia" w:ascii="仿宋_GB2312" w:hAnsi="仿宋_GB2312" w:cs="仿宋_GB2312"/>
          <w:lang w:eastAsia="zh-CN"/>
        </w:rPr>
        <w:t>第一师沙井子灌区二团灌区</w:t>
      </w:r>
      <w:r>
        <w:rPr>
          <w:rFonts w:hint="eastAsia" w:ascii="仿宋_GB2312" w:hAnsi="仿宋_GB2312" w:cs="仿宋_GB2312"/>
        </w:rPr>
        <w:t>。该项目为渠道防护防渗改建，改造渠道均在原渠线上进行防护防渗改建，主要建设内容包括：防渗改造渠道</w:t>
      </w:r>
      <w:r>
        <w:rPr>
          <w:rFonts w:hint="eastAsia" w:ascii="仿宋_GB2312" w:hAnsi="仿宋_GB2312" w:cs="仿宋_GB2312"/>
          <w:lang w:val="en-US" w:eastAsia="zh-CN"/>
        </w:rPr>
        <w:t>57</w:t>
      </w:r>
      <w:r>
        <w:rPr>
          <w:rFonts w:hint="eastAsia" w:ascii="仿宋_GB2312" w:hAnsi="仿宋_GB2312" w:cs="仿宋_GB2312"/>
        </w:rPr>
        <w:t>条，总长113.28km，设计流量0.</w:t>
      </w:r>
      <w:r>
        <w:rPr>
          <w:rFonts w:hint="eastAsia" w:ascii="仿宋_GB2312" w:hAnsi="仿宋_GB2312" w:cs="仿宋_GB2312"/>
          <w:lang w:val="en-US" w:eastAsia="zh-CN"/>
        </w:rPr>
        <w:t>3</w:t>
      </w:r>
      <w:r>
        <w:rPr>
          <w:rFonts w:hint="eastAsia" w:ascii="仿宋_GB2312" w:hAnsi="仿宋_GB2312" w:cs="仿宋_GB2312"/>
        </w:rPr>
        <w:t>m</w:t>
      </w:r>
      <w:r>
        <w:rPr>
          <w:rFonts w:hint="eastAsia" w:ascii="仿宋_GB2312" w:hAnsi="仿宋_GB2312" w:cs="仿宋_GB2312"/>
          <w:vertAlign w:val="superscript"/>
        </w:rPr>
        <w:t>3</w:t>
      </w:r>
      <w:r>
        <w:rPr>
          <w:rFonts w:hint="eastAsia" w:ascii="仿宋_GB2312" w:hAnsi="仿宋_GB2312" w:cs="仿宋_GB2312"/>
        </w:rPr>
        <w:t>/s-</w:t>
      </w:r>
      <w:r>
        <w:rPr>
          <w:rFonts w:hint="eastAsia" w:ascii="仿宋_GB2312" w:hAnsi="仿宋_GB2312" w:cs="仿宋_GB2312"/>
          <w:lang w:val="en-US" w:eastAsia="zh-CN"/>
        </w:rPr>
        <w:t>1.25</w:t>
      </w:r>
      <w:r>
        <w:rPr>
          <w:rFonts w:hint="eastAsia" w:ascii="仿宋_GB2312" w:hAnsi="仿宋_GB2312" w:cs="仿宋_GB2312"/>
        </w:rPr>
        <w:t>m</w:t>
      </w:r>
      <w:r>
        <w:rPr>
          <w:rFonts w:hint="eastAsia" w:ascii="仿宋_GB2312" w:hAnsi="仿宋_GB2312" w:cs="仿宋_GB2312"/>
          <w:vertAlign w:val="superscript"/>
        </w:rPr>
        <w:t>3</w:t>
      </w:r>
      <w:r>
        <w:rPr>
          <w:rFonts w:hint="eastAsia" w:ascii="仿宋_GB2312" w:hAnsi="仿宋_GB2312" w:cs="仿宋_GB2312"/>
        </w:rPr>
        <w:t>/s之间。改造配套渠系建筑物共计</w:t>
      </w:r>
      <w:r>
        <w:rPr>
          <w:rFonts w:hint="eastAsia" w:ascii="仿宋_GB2312" w:hAnsi="仿宋_GB2312" w:cs="仿宋_GB2312"/>
          <w:lang w:val="en-US" w:eastAsia="zh-CN"/>
        </w:rPr>
        <w:t>1225</w:t>
      </w:r>
      <w:r>
        <w:rPr>
          <w:rFonts w:hint="eastAsia" w:ascii="仿宋_GB2312" w:hAnsi="仿宋_GB2312" w:cs="仿宋_GB2312"/>
        </w:rPr>
        <w:t>座，闸枢纽221座、分水闸757座，交通桥126座，扬水泵站4座，涵洞5座，测水桥57座，连接段55座。改造面积21.06万亩。项目总投资13232.52万元，其中环保投资约为185</w:t>
      </w:r>
      <w:r>
        <w:rPr>
          <w:rFonts w:hint="eastAsia" w:ascii="仿宋_GB2312" w:hAnsi="仿宋_GB2312" w:cs="仿宋_GB2312"/>
          <w:lang w:val="en-US" w:eastAsia="zh-CN"/>
        </w:rPr>
        <w:t>万</w:t>
      </w:r>
      <w:r>
        <w:rPr>
          <w:rFonts w:hint="eastAsia" w:ascii="仿宋_GB2312" w:hAnsi="仿宋_GB2312" w:cs="仿宋_GB2312"/>
        </w:rPr>
        <w:t>元</w:t>
      </w:r>
      <w:r>
        <w:rPr>
          <w:rFonts w:hint="eastAsia" w:ascii="仿宋_GB2312" w:hAnsi="仿宋_GB2312" w:cs="仿宋_GB2312"/>
          <w:lang w:eastAsia="zh-CN"/>
        </w:rPr>
        <w:t>，</w:t>
      </w:r>
      <w:r>
        <w:rPr>
          <w:rFonts w:hint="eastAsia" w:ascii="仿宋_GB2312"/>
        </w:rPr>
        <w:t>占总投资的</w:t>
      </w:r>
      <w:r>
        <w:rPr>
          <w:rFonts w:hint="eastAsia" w:ascii="仿宋_GB2312"/>
          <w:lang w:val="en-US" w:eastAsia="zh-CN"/>
        </w:rPr>
        <w:t>1.4</w:t>
      </w:r>
      <w:r>
        <w:rPr>
          <w:rFonts w:hint="eastAsia" w:ascii="仿宋_GB2312"/>
        </w:rPr>
        <w:t>%。</w:t>
      </w:r>
    </w:p>
    <w:p>
      <w:pPr>
        <w:keepNext w:val="0"/>
        <w:keepLines w:val="0"/>
        <w:pageBreakBefore w:val="0"/>
        <w:widowControl w:val="0"/>
        <w:kinsoku/>
        <w:wordWrap/>
        <w:overflowPunct/>
        <w:topLinePunct w:val="0"/>
        <w:bidi w:val="0"/>
        <w:adjustRightInd w:val="0"/>
        <w:snapToGrid w:val="0"/>
        <w:spacing w:line="540" w:lineRule="exact"/>
        <w:ind w:firstLine="640" w:firstLineChars="200"/>
        <w:textAlignment w:val="auto"/>
        <w:rPr>
          <w:rFonts w:ascii="仿宋_GB2312" w:hAnsi="仿宋_GB2312" w:cs="仿宋_GB2312"/>
        </w:rPr>
      </w:pPr>
      <w:r>
        <w:rPr>
          <w:rFonts w:hint="eastAsia" w:ascii="仿宋_GB2312" w:hAnsi="仿宋_GB2312" w:cs="仿宋_GB2312"/>
        </w:rPr>
        <w:t>二</w:t>
      </w:r>
      <w:r>
        <w:rPr>
          <w:rFonts w:hint="eastAsia" w:ascii="仿宋_GB2312" w:hAnsi="仿宋_GB2312" w:cs="仿宋_GB2312"/>
          <w:color w:val="000000" w:themeColor="text1"/>
          <w14:textFill>
            <w14:solidFill>
              <w14:schemeClr w14:val="tx1"/>
            </w14:solidFill>
          </w14:textFill>
        </w:rPr>
        <w:t>、该项目属于</w:t>
      </w:r>
      <w:r>
        <w:rPr>
          <w:rFonts w:hint="eastAsia" w:ascii="仿宋_GB2312" w:hAnsi="仿宋_GB2312" w:cs="仿宋_GB2312"/>
          <w:color w:val="000000" w:themeColor="text1"/>
          <w:lang w:val="zh-CN"/>
          <w14:textFill>
            <w14:solidFill>
              <w14:schemeClr w14:val="tx1"/>
            </w14:solidFill>
          </w14:textFill>
        </w:rPr>
        <w:t>水利类灌区工程项目</w:t>
      </w:r>
      <w:r>
        <w:rPr>
          <w:rFonts w:hint="eastAsia" w:ascii="仿宋_GB2312" w:hAnsi="仿宋_GB2312" w:cs="仿宋_GB2312"/>
        </w:rPr>
        <w:t>，我局原则同意报告表的结论。项目经投资主管部门依法审批后，你单位须严格按照报告表所列建设项目的性质、规模、地点、环保措施要求实施项目建设。</w:t>
      </w:r>
    </w:p>
    <w:p>
      <w:pPr>
        <w:keepNext w:val="0"/>
        <w:keepLines w:val="0"/>
        <w:pageBreakBefore w:val="0"/>
        <w:widowControl w:val="0"/>
        <w:kinsoku/>
        <w:wordWrap/>
        <w:overflowPunct/>
        <w:topLinePunct w:val="0"/>
        <w:bidi w:val="0"/>
        <w:adjustRightInd w:val="0"/>
        <w:snapToGrid w:val="0"/>
        <w:spacing w:line="540" w:lineRule="exact"/>
        <w:ind w:firstLine="640" w:firstLineChars="200"/>
        <w:textAlignment w:val="auto"/>
        <w:rPr>
          <w:rFonts w:ascii="仿宋_GB2312" w:hAnsi="仿宋_GB2312" w:cs="仿宋_GB2312"/>
        </w:rPr>
      </w:pPr>
      <w:r>
        <w:rPr>
          <w:rFonts w:hint="eastAsia" w:ascii="仿宋_GB2312" w:hAnsi="仿宋_GB2312" w:cs="仿宋_GB2312"/>
        </w:rPr>
        <w:t>三、你单位运营中，应严格执行有关环境质量标准和污染物排放标准，认真、全面落实报告表提出的各项环保对策措施要求，确保污染物达标排放和各环境敏感点满足相应功能要求。重点做好以下工作：</w:t>
      </w:r>
    </w:p>
    <w:p>
      <w:pPr>
        <w:pStyle w:val="15"/>
        <w:keepNext w:val="0"/>
        <w:keepLines w:val="0"/>
        <w:pageBreakBefore w:val="0"/>
        <w:widowControl w:val="0"/>
        <w:kinsoku/>
        <w:wordWrap/>
        <w:overflowPunct/>
        <w:topLinePunct w:val="0"/>
        <w:autoSpaceDE w:val="0"/>
        <w:autoSpaceDN w:val="0"/>
        <w:bidi w:val="0"/>
        <w:adjustRightInd w:val="0"/>
        <w:snapToGrid w:val="0"/>
        <w:spacing w:line="54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施工期应加强对施工人员、车辆运行管理，避免在大风、暴雨等气象条件下施工，防止水土流失。施工中尽可能缩短施工时间，提高工程施工效率，尽量减少对自然植被的破坏和减少裸地面积。对于施工破坏区，施工完毕后，要及时平整土地，防止土地沙化。施工产生的废弃物，集中收集合理处置。</w:t>
      </w:r>
    </w:p>
    <w:p>
      <w:pPr>
        <w:pStyle w:val="15"/>
        <w:keepNext w:val="0"/>
        <w:keepLines w:val="0"/>
        <w:pageBreakBefore w:val="0"/>
        <w:widowControl w:val="0"/>
        <w:kinsoku/>
        <w:wordWrap/>
        <w:overflowPunct/>
        <w:topLinePunct w:val="0"/>
        <w:autoSpaceDE w:val="0"/>
        <w:autoSpaceDN w:val="0"/>
        <w:bidi w:val="0"/>
        <w:adjustRightInd w:val="0"/>
        <w:snapToGrid w:val="0"/>
        <w:spacing w:line="54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做好施工期大气污染防治措施。施工的废气主要为施工机械燃油废气、施工作业区开挖、填筑、水泥装卸产生的粉尘及汽车行驶过程中产生的尾气、扬尘等。在施工期间对施工场的建筑材料采取密闭储存、用防尘布苫盖。工地内堆置超过一周的弃料和建筑垃圾实施洒水抑尘，采取蓬布遮盖的方式防止扬尘污染。施工期间，对施工场地采取洒水降尘的措施，减少粉尘。使用合格的施工与运输车辆。</w:t>
      </w:r>
    </w:p>
    <w:p>
      <w:pPr>
        <w:pStyle w:val="15"/>
        <w:keepNext w:val="0"/>
        <w:keepLines w:val="0"/>
        <w:pageBreakBefore w:val="0"/>
        <w:widowControl w:val="0"/>
        <w:kinsoku/>
        <w:wordWrap/>
        <w:overflowPunct/>
        <w:topLinePunct w:val="0"/>
        <w:autoSpaceDE w:val="0"/>
        <w:autoSpaceDN w:val="0"/>
        <w:bidi w:val="0"/>
        <w:adjustRightInd w:val="0"/>
        <w:snapToGrid w:val="0"/>
        <w:spacing w:line="54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落实施工期废水处置措施。施工期间废水主要来自施工生产废水和生活废水。生产废水主要来源于施工机械的清洗废水，施工期产生的废水主要污染物为悬浮物、SS等固体物质，不含有毒物质；生活废水采用移动式环保厕所收集，清运至团部污水处理厂集中处置。</w:t>
      </w:r>
    </w:p>
    <w:p>
      <w:pPr>
        <w:pStyle w:val="15"/>
        <w:keepNext w:val="0"/>
        <w:keepLines w:val="0"/>
        <w:pageBreakBefore w:val="0"/>
        <w:widowControl w:val="0"/>
        <w:kinsoku/>
        <w:wordWrap/>
        <w:overflowPunct/>
        <w:topLinePunct w:val="0"/>
        <w:autoSpaceDE w:val="0"/>
        <w:autoSpaceDN w:val="0"/>
        <w:bidi w:val="0"/>
        <w:adjustRightInd w:val="0"/>
        <w:snapToGrid w:val="0"/>
        <w:spacing w:line="54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四）认真落实生态保护措施。加强施工期管理，制定施工规划时应充分考虑对环境的影响，合理规划，尽量减少占地面积。严格限制施工活动范围，禁止施工机械碾压非施工区域，减少对环境的扰动，做到文明施工；加强对周围地表土壤和植被的保护，不损坏施工营地之外的地表土壤和植被，尽量减少对动植物的影响；结合后期水土保持措施，做好施工扰动区表土层的剥离、堆存、回填、平整等工作，以减少占地损失、减少水土流失、恢复生态、恢复景观等；施工临时场所在施工完毕后及时拆除临时建筑，采取平整、回填并采取植被恢复措施。</w:t>
      </w:r>
    </w:p>
    <w:p>
      <w:pPr>
        <w:pStyle w:val="15"/>
        <w:keepNext w:val="0"/>
        <w:keepLines w:val="0"/>
        <w:pageBreakBefore w:val="0"/>
        <w:widowControl w:val="0"/>
        <w:kinsoku/>
        <w:wordWrap/>
        <w:overflowPunct/>
        <w:topLinePunct w:val="0"/>
        <w:autoSpaceDE w:val="0"/>
        <w:autoSpaceDN w:val="0"/>
        <w:bidi w:val="0"/>
        <w:adjustRightInd w:val="0"/>
        <w:snapToGrid w:val="0"/>
        <w:spacing w:line="54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五）严格落实固体废物分类处置和分类利用措施。按照“资源化、减量化、无害化”的处置原则，将施工中的弃土用于场地平整及周边低洼地段填方全部回用；施工期的生活垃圾通过垃圾桶集中收集后及时清运至当地生活垃圾填埋场处理。</w:t>
      </w:r>
    </w:p>
    <w:p>
      <w:pPr>
        <w:pStyle w:val="15"/>
        <w:keepNext w:val="0"/>
        <w:keepLines w:val="0"/>
        <w:pageBreakBefore w:val="0"/>
        <w:widowControl w:val="0"/>
        <w:kinsoku/>
        <w:wordWrap/>
        <w:overflowPunct/>
        <w:topLinePunct w:val="0"/>
        <w:autoSpaceDE w:val="0"/>
        <w:autoSpaceDN w:val="0"/>
        <w:bidi w:val="0"/>
        <w:adjustRightInd w:val="0"/>
        <w:snapToGrid w:val="0"/>
        <w:spacing w:line="54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六）运营期定期检查渠堤护坡安全，防止水土流失；定期巡查灌区土壤状况，防止次生盐渍化现象；加强渠道两侧的绿化美化工程和日常管理维护，恢复和改善渠堤沿线原有的生态功能;加强项目管理，确保各设施安全运行。</w:t>
      </w:r>
    </w:p>
    <w:p>
      <w:pPr>
        <w:pStyle w:val="15"/>
        <w:keepNext w:val="0"/>
        <w:keepLines w:val="0"/>
        <w:pageBreakBefore w:val="0"/>
        <w:widowControl w:val="0"/>
        <w:kinsoku/>
        <w:wordWrap/>
        <w:overflowPunct/>
        <w:topLinePunct w:val="0"/>
        <w:bidi w:val="0"/>
        <w:spacing w:line="540" w:lineRule="exact"/>
        <w:ind w:firstLine="640" w:firstLineChars="200"/>
        <w:textAlignment w:val="auto"/>
        <w:rPr>
          <w:rFonts w:hint="default" w:ascii="仿宋_GB2312" w:hAnsi="仿宋_GB2312" w:eastAsia="仿宋_GB2312" w:cs="仿宋_GB2312"/>
          <w:sz w:val="32"/>
          <w:szCs w:val="32"/>
        </w:rPr>
      </w:pPr>
      <w:r>
        <w:rPr>
          <w:rFonts w:ascii="仿宋_GB2312" w:hAnsi="仿宋_GB2312" w:eastAsia="仿宋_GB2312" w:cs="仿宋_GB2312"/>
          <w:sz w:val="32"/>
          <w:szCs w:val="32"/>
        </w:rPr>
        <w:t>四、你单位须严格执行环保“三同时”制度，建设项目竣工后，建设单位应当按照国务院环境保护行政主管部门规定的标准和程序，对配套建设的环境保护设施进行验收，编制验收报告，验收报告编制完成后5个工作日内，在相关网站公开验收报告，公示期限不得少于20个工作日，并向我局报送相关信息；验收报告公示期满后5个工作日内，建设单位应当登录“全国建设项目竣工环境保护验收信息平台”（网址为http://47.94.79.251），填报建设项目基本信息、环境保护设施验收情况等相关信息。</w:t>
      </w:r>
    </w:p>
    <w:p>
      <w:pPr>
        <w:keepNext w:val="0"/>
        <w:keepLines w:val="0"/>
        <w:pageBreakBefore w:val="0"/>
        <w:widowControl w:val="0"/>
        <w:kinsoku/>
        <w:wordWrap/>
        <w:overflowPunct/>
        <w:topLinePunct w:val="0"/>
        <w:bidi w:val="0"/>
        <w:adjustRightInd w:val="0"/>
        <w:snapToGrid w:val="0"/>
        <w:spacing w:line="540" w:lineRule="exact"/>
        <w:ind w:firstLine="630"/>
        <w:textAlignment w:val="auto"/>
        <w:rPr>
          <w:rFonts w:ascii="仿宋_GB2312"/>
        </w:rPr>
      </w:pPr>
      <w:r>
        <w:rPr>
          <w:rFonts w:hint="eastAsia" w:ascii="仿宋_GB2312"/>
        </w:rPr>
        <w:t>五、你单位须严格按照《排污许可证管理暂行规定》要求，在投入生产或使用并产生实际排污行为之前申请领取排污许可证或进行排污登记。</w:t>
      </w:r>
    </w:p>
    <w:p>
      <w:pPr>
        <w:keepNext w:val="0"/>
        <w:keepLines w:val="0"/>
        <w:pageBreakBefore w:val="0"/>
        <w:widowControl w:val="0"/>
        <w:kinsoku/>
        <w:wordWrap/>
        <w:overflowPunct/>
        <w:topLinePunct w:val="0"/>
        <w:bidi w:val="0"/>
        <w:adjustRightInd w:val="0"/>
        <w:snapToGrid w:val="0"/>
        <w:spacing w:line="540" w:lineRule="exact"/>
        <w:ind w:firstLine="640" w:firstLineChars="200"/>
        <w:textAlignment w:val="auto"/>
        <w:rPr>
          <w:rFonts w:ascii="仿宋_GB2312"/>
        </w:rPr>
      </w:pPr>
      <w:r>
        <w:rPr>
          <w:rFonts w:hint="eastAsia" w:ascii="仿宋_GB2312"/>
        </w:rPr>
        <w:t>六、根据《中华人民共和国环境影响评价法》等相关环保法律法规的规定，若项目性质、规模、地点、采用的防治污染、防止生态破坏的措施等发生重大变化的，应依法重新报批环评文件。自批准之日起5年内未开工建设的，其环评文件应当报我局重新审核。在项目建设、运行过程中产生不符合经审批的环评文件情形的，应依法重新办理相关环保手续。</w:t>
      </w:r>
    </w:p>
    <w:p>
      <w:pPr>
        <w:keepNext w:val="0"/>
        <w:keepLines w:val="0"/>
        <w:pageBreakBefore w:val="0"/>
        <w:widowControl w:val="0"/>
        <w:kinsoku/>
        <w:wordWrap/>
        <w:overflowPunct/>
        <w:topLinePunct w:val="0"/>
        <w:bidi w:val="0"/>
        <w:adjustRightInd w:val="0"/>
        <w:snapToGrid w:val="0"/>
        <w:spacing w:line="540" w:lineRule="exact"/>
        <w:ind w:firstLine="640" w:firstLineChars="200"/>
        <w:textAlignment w:val="auto"/>
        <w:rPr>
          <w:rFonts w:ascii="仿宋_GB2312"/>
        </w:rPr>
      </w:pPr>
      <w:r>
        <w:rPr>
          <w:rFonts w:hint="eastAsia" w:ascii="仿宋_GB2312" w:hAnsi="仿宋_GB2312" w:cs="仿宋_GB2312"/>
        </w:rPr>
        <w:t>七、第一师水利工程建设管理处根据《关于印发&lt;第一师阿拉尔市生态环境保护工作职责暂行规定（试行）&gt;的通知》（师市环委办发〔2020〕1号）要求，做好该项目环境保护管理工作，师市生态环境保护综合行政执法支队做好该项目的抽查日常监督管理工作。</w:t>
      </w:r>
    </w:p>
    <w:p>
      <w:pPr>
        <w:pStyle w:val="15"/>
        <w:adjustRightInd w:val="0"/>
        <w:snapToGrid w:val="0"/>
        <w:spacing w:line="560" w:lineRule="exact"/>
        <w:ind w:firstLine="4800" w:firstLineChars="1500"/>
        <w:jc w:val="both"/>
        <w:rPr>
          <w:rFonts w:ascii="仿宋_GB2312" w:hAnsi="仿宋_GB2312" w:eastAsia="仿宋_GB2312" w:cs="仿宋_GB2312"/>
          <w:color w:val="auto"/>
          <w:sz w:val="32"/>
          <w:szCs w:val="32"/>
        </w:rPr>
      </w:pPr>
    </w:p>
    <w:p>
      <w:pPr>
        <w:pStyle w:val="15"/>
        <w:adjustRightInd w:val="0"/>
        <w:snapToGrid w:val="0"/>
        <w:spacing w:line="560" w:lineRule="exact"/>
        <w:ind w:firstLine="4800" w:firstLineChars="1500"/>
        <w:jc w:val="both"/>
        <w:rPr>
          <w:rFonts w:ascii="仿宋_GB2312" w:hAnsi="仿宋_GB2312" w:eastAsia="仿宋_GB2312" w:cs="仿宋_GB2312"/>
          <w:color w:val="auto"/>
          <w:sz w:val="32"/>
          <w:szCs w:val="32"/>
        </w:rPr>
      </w:pPr>
    </w:p>
    <w:p>
      <w:pPr>
        <w:pStyle w:val="15"/>
        <w:adjustRightInd w:val="0"/>
        <w:snapToGrid w:val="0"/>
        <w:spacing w:line="560" w:lineRule="exact"/>
        <w:ind w:firstLine="4800" w:firstLineChars="1500"/>
        <w:jc w:val="both"/>
        <w:rPr>
          <w:rFonts w:hint="default" w:ascii="仿宋_GB2312" w:hAnsi="仿宋_GB2312" w:eastAsia="仿宋_GB2312" w:cs="仿宋_GB2312"/>
          <w:color w:val="auto"/>
          <w:sz w:val="32"/>
          <w:szCs w:val="32"/>
        </w:rPr>
      </w:pPr>
      <w:r>
        <w:rPr>
          <w:rFonts w:ascii="仿宋_GB2312" w:hAnsi="仿宋_GB2312" w:eastAsia="仿宋_GB2312" w:cs="仿宋_GB2312"/>
          <w:color w:val="auto"/>
          <w:sz w:val="32"/>
          <w:szCs w:val="32"/>
        </w:rPr>
        <w:t>第一师阿拉尔市生态环境局</w:t>
      </w:r>
    </w:p>
    <w:p>
      <w:pPr>
        <w:widowControl/>
        <w:adjustRightInd w:val="0"/>
        <w:snapToGrid w:val="0"/>
        <w:spacing w:line="560" w:lineRule="exact"/>
        <w:ind w:right="608" w:firstLine="5440" w:firstLineChars="1700"/>
        <w:rPr>
          <w:rFonts w:hint="eastAsia" w:ascii="仿宋_GB2312" w:hAnsi="仿宋_GB2312" w:cs="仿宋_GB2312"/>
          <w:kern w:val="0"/>
        </w:rPr>
      </w:pPr>
      <w:r>
        <w:rPr>
          <w:rFonts w:hint="eastAsia" w:ascii="仿宋_GB2312" w:hAnsi="仿宋_GB2312" w:cs="仿宋_GB2312"/>
          <w:kern w:val="0"/>
        </w:rPr>
        <w:t>2021年</w:t>
      </w:r>
      <w:r>
        <w:rPr>
          <w:rFonts w:hint="eastAsia" w:ascii="仿宋_GB2312" w:hAnsi="仿宋_GB2312" w:cs="仿宋_GB2312"/>
          <w:kern w:val="0"/>
          <w:lang w:val="en-US" w:eastAsia="zh-CN"/>
        </w:rPr>
        <w:t>6</w:t>
      </w:r>
      <w:r>
        <w:rPr>
          <w:rFonts w:hint="eastAsia" w:ascii="仿宋_GB2312" w:hAnsi="仿宋_GB2312" w:cs="仿宋_GB2312"/>
          <w:kern w:val="0"/>
        </w:rPr>
        <w:t>月</w:t>
      </w:r>
      <w:r>
        <w:rPr>
          <w:rFonts w:hint="eastAsia" w:ascii="仿宋_GB2312" w:hAnsi="仿宋_GB2312" w:cs="仿宋_GB2312"/>
          <w:kern w:val="0"/>
          <w:lang w:val="en-US" w:eastAsia="zh-CN"/>
        </w:rPr>
        <w:t>15</w:t>
      </w:r>
      <w:r>
        <w:rPr>
          <w:rFonts w:hint="eastAsia" w:ascii="仿宋_GB2312" w:hAnsi="仿宋_GB2312" w:cs="仿宋_GB2312"/>
          <w:kern w:val="0"/>
        </w:rPr>
        <w:t>日</w:t>
      </w:r>
    </w:p>
    <w:p/>
    <w:p/>
    <w:p>
      <w:pPr>
        <w:topLinePunct/>
        <w:adjustRightInd w:val="0"/>
        <w:snapToGrid w:val="0"/>
        <w:spacing w:line="520" w:lineRule="exact"/>
        <w:ind w:firstLine="280" w:firstLineChars="100"/>
        <w:rPr>
          <w:rFonts w:ascii="仿宋_GB2312" w:hAnsi="仿宋_GB2312" w:cs="仿宋_GB2312"/>
          <w:sz w:val="28"/>
          <w:szCs w:val="28"/>
        </w:rPr>
      </w:pPr>
      <w:r>
        <w:rPr>
          <w:rFonts w:ascii="仿宋_GB2312" w:hAnsi="仿宋_GB2312" w:cs="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28575</wp:posOffset>
                </wp:positionH>
                <wp:positionV relativeFrom="paragraph">
                  <wp:posOffset>44450</wp:posOffset>
                </wp:positionV>
                <wp:extent cx="5571490" cy="10160"/>
                <wp:effectExtent l="0" t="4445" r="6350" b="8255"/>
                <wp:wrapNone/>
                <wp:docPr id="2" name="直线 12"/>
                <wp:cNvGraphicFramePr/>
                <a:graphic xmlns:a="http://schemas.openxmlformats.org/drawingml/2006/main">
                  <a:graphicData uri="http://schemas.microsoft.com/office/word/2010/wordprocessingShape">
                    <wps:wsp>
                      <wps:cNvCnPr/>
                      <wps:spPr>
                        <a:xfrm>
                          <a:off x="0" y="0"/>
                          <a:ext cx="5571490" cy="101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 o:spid="_x0000_s1026" o:spt="20" style="position:absolute;left:0pt;margin-left:2.25pt;margin-top:3.5pt;height:0.8pt;width:438.7pt;z-index:251661312;mso-width-relative:page;mso-height-relative:page;" filled="f" stroked="t" coordsize="21600,21600" o:gfxdata="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vgRM&#10;JtQAAAAFAQAADwAAAAAAAAABACAAAAAiAAAAZHJzL2Rvd25yZXYueG1sUEsBAhQAFAAAAAgAh07i&#10;QOLqXAPtAQAA4AMAAA4AAAAAAAAAAQAgAAAAIwEAAGRycy9lMm9Eb2MueG1sUEsFBgAAAAAGAAYA&#10;WQEAAIIFAAAAAA==&#10;">
                <v:fill on="f" focussize="0,0"/>
                <v:stroke color="#000000" joinstyle="round"/>
                <v:imagedata o:title=""/>
                <o:lock v:ext="edit" aspectratio="f"/>
              </v:line>
            </w:pict>
          </mc:Fallback>
        </mc:AlternateContent>
      </w:r>
      <w:r>
        <w:rPr>
          <w:rFonts w:hint="eastAsia" w:ascii="仿宋_GB2312" w:hAnsi="仿宋_GB2312" w:cs="仿宋_GB2312"/>
          <w:sz w:val="28"/>
          <w:szCs w:val="28"/>
        </w:rPr>
        <w:t>抄送：师市相关领导，发改委、</w:t>
      </w:r>
      <w:r>
        <w:rPr>
          <w:rFonts w:hint="eastAsia" w:ascii="仿宋_GB2312" w:hAnsi="仿宋_GB2312" w:cs="仿宋_GB2312"/>
          <w:sz w:val="28"/>
          <w:szCs w:val="28"/>
          <w:lang w:val="en-US" w:eastAsia="zh-CN"/>
        </w:rPr>
        <w:t>自然资源和规划局</w:t>
      </w:r>
      <w:r>
        <w:rPr>
          <w:rFonts w:hint="eastAsia" w:ascii="仿宋_GB2312" w:hAnsi="仿宋_GB2312" w:cs="仿宋_GB2312"/>
          <w:sz w:val="28"/>
          <w:szCs w:val="28"/>
        </w:rPr>
        <w:t>、</w:t>
      </w:r>
      <w:r>
        <w:rPr>
          <w:rFonts w:hint="eastAsia" w:ascii="仿宋_GB2312" w:hAnsi="仿宋_GB2312" w:cs="仿宋_GB2312"/>
          <w:sz w:val="28"/>
          <w:szCs w:val="28"/>
          <w:lang w:val="en-US" w:eastAsia="zh-CN"/>
        </w:rPr>
        <w:t>水利局、</w:t>
      </w:r>
      <w:r>
        <w:rPr>
          <w:rFonts w:hint="eastAsia" w:ascii="仿宋_GB2312" w:hAnsi="仿宋_GB2312" w:cs="仿宋_GB2312"/>
          <w:sz w:val="28"/>
          <w:szCs w:val="28"/>
        </w:rPr>
        <w:t>生态</w:t>
      </w:r>
    </w:p>
    <w:p>
      <w:pPr>
        <w:topLinePunct/>
        <w:adjustRightInd w:val="0"/>
        <w:snapToGrid w:val="0"/>
        <w:spacing w:line="520" w:lineRule="exact"/>
        <w:rPr>
          <w:rFonts w:ascii="仿宋_GB2312" w:hAnsi="仿宋_GB2312" w:cs="仿宋_GB2312"/>
          <w:sz w:val="28"/>
          <w:szCs w:val="28"/>
        </w:rPr>
      </w:pPr>
      <w:r>
        <w:rPr>
          <w:rFonts w:hint="eastAsia" w:ascii="仿宋_GB2312" w:hAnsi="仿宋_GB2312" w:cs="仿宋_GB2312"/>
          <w:sz w:val="28"/>
          <w:szCs w:val="28"/>
        </w:rPr>
        <w:t>环境保护综合行政执法支队，新疆创禹水利环境科技有限公司。</w:t>
      </w:r>
    </w:p>
    <w:p>
      <w:pPr>
        <w:topLinePunct/>
        <w:adjustRightInd w:val="0"/>
        <w:snapToGrid w:val="0"/>
        <w:spacing w:line="520" w:lineRule="exact"/>
        <w:rPr>
          <w:rFonts w:ascii="仿宋_GB2312" w:hAnsi="仿宋_GB2312" w:cs="仿宋_GB2312"/>
          <w:sz w:val="28"/>
          <w:szCs w:val="28"/>
        </w:rPr>
      </w:pPr>
      <w:r>
        <w:rPr>
          <w:rFonts w:ascii="仿宋_GB2312" w:hAnsi="仿宋_GB2312" w:cs="仿宋_GB2312"/>
          <w:sz w:val="28"/>
          <w:szCs w:val="28"/>
        </w:rPr>
        <mc:AlternateContent>
          <mc:Choice Requires="wps">
            <w:drawing>
              <wp:anchor distT="0" distB="0" distL="114300" distR="114300" simplePos="0" relativeHeight="251663360" behindDoc="0" locked="0" layoutInCell="1" allowOverlap="1">
                <wp:simplePos x="0" y="0"/>
                <wp:positionH relativeFrom="column">
                  <wp:posOffset>15875</wp:posOffset>
                </wp:positionH>
                <wp:positionV relativeFrom="paragraph">
                  <wp:posOffset>308610</wp:posOffset>
                </wp:positionV>
                <wp:extent cx="5542915" cy="10160"/>
                <wp:effectExtent l="0" t="4445" r="4445" b="8255"/>
                <wp:wrapNone/>
                <wp:docPr id="4" name="直线 3"/>
                <wp:cNvGraphicFramePr/>
                <a:graphic xmlns:a="http://schemas.openxmlformats.org/drawingml/2006/main">
                  <a:graphicData uri="http://schemas.microsoft.com/office/word/2010/wordprocessingShape">
                    <wps:wsp>
                      <wps:cNvCnPr/>
                      <wps:spPr>
                        <a:xfrm>
                          <a:off x="0" y="0"/>
                          <a:ext cx="5542915" cy="101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1.25pt;margin-top:24.3pt;height:0.8pt;width:436.45pt;z-index:251663360;mso-width-relative:page;mso-height-relative:page;" filled="f" stroked="t" coordsize="21600,21600" o:gfxdata="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n&#10;rT+q1gAAAAcBAAAPAAAAAAAAAAEAIAAAACIAAABkcnMvZG93bnJldi54bWxQSwECFAAUAAAACACH&#10;TuJADfLHwO0BAADfAwAADgAAAAAAAAABACAAAAAlAQAAZHJzL2Uyb0RvYy54bWxQSwUGAAAAAAYA&#10;BgBZAQAAhAUAAAAA&#10;">
                <v:fill on="f" focussize="0,0"/>
                <v:stroke color="#000000" joinstyle="round"/>
                <v:imagedata o:title=""/>
                <o:lock v:ext="edit" aspectratio="f"/>
              </v:line>
            </w:pict>
          </mc:Fallback>
        </mc:AlternateContent>
      </w:r>
      <w:r>
        <w:rPr>
          <w:rFonts w:ascii="仿宋_GB2312" w:hAnsi="仿宋_GB2312" w:cs="仿宋_GB2312"/>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9525</wp:posOffset>
                </wp:positionV>
                <wp:extent cx="5542915" cy="10160"/>
                <wp:effectExtent l="0" t="4445" r="4445" b="8255"/>
                <wp:wrapNone/>
                <wp:docPr id="3" name="直线 13"/>
                <wp:cNvGraphicFramePr/>
                <a:graphic xmlns:a="http://schemas.openxmlformats.org/drawingml/2006/main">
                  <a:graphicData uri="http://schemas.microsoft.com/office/word/2010/wordprocessingShape">
                    <wps:wsp>
                      <wps:cNvCnPr/>
                      <wps:spPr>
                        <a:xfrm>
                          <a:off x="0" y="0"/>
                          <a:ext cx="5542915" cy="101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3" o:spid="_x0000_s1026" o:spt="20" style="position:absolute;left:0pt;margin-left:0pt;margin-top:0.75pt;height:0.8pt;width:436.45pt;z-index:251662336;mso-width-relative:page;mso-height-relative:page;" filled="f" stroked="t" coordsize="21600,21600" o:gfxdata="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nBaW&#10;pNMAAAAEAQAADwAAAAAAAAABACAAAAAiAAAAZHJzL2Rvd25yZXYueG1sUEsBAhQAFAAAAAgAh07i&#10;QPqJv8ruAQAA4AMAAA4AAAAAAAAAAQAgAAAAIgEAAGRycy9lMm9Eb2MueG1sUEsFBgAAAAAGAAYA&#10;WQEAAIIFAAAAAA==&#10;">
                <v:fill on="f" focussize="0,0"/>
                <v:stroke color="#000000" joinstyle="round"/>
                <v:imagedata o:title=""/>
                <o:lock v:ext="edit" aspectratio="f"/>
              </v:line>
            </w:pict>
          </mc:Fallback>
        </mc:AlternateContent>
      </w:r>
      <w:r>
        <w:rPr>
          <w:rFonts w:hint="eastAsia" w:ascii="仿宋_GB2312" w:hAnsi="仿宋_GB2312" w:cs="仿宋_GB2312"/>
          <w:sz w:val="28"/>
          <w:szCs w:val="28"/>
        </w:rPr>
        <w:t>第一师阿拉尔市生态环境局               2021年</w:t>
      </w:r>
      <w:r>
        <w:rPr>
          <w:rFonts w:hint="eastAsia" w:ascii="仿宋_GB2312" w:hAnsi="仿宋_GB2312" w:cs="仿宋_GB2312"/>
          <w:sz w:val="28"/>
          <w:szCs w:val="28"/>
          <w:lang w:val="en-US" w:eastAsia="zh-CN"/>
        </w:rPr>
        <w:t>6</w:t>
      </w:r>
      <w:r>
        <w:rPr>
          <w:rFonts w:hint="eastAsia" w:ascii="仿宋_GB2312" w:hAnsi="仿宋_GB2312" w:cs="仿宋_GB2312"/>
          <w:sz w:val="28"/>
          <w:szCs w:val="28"/>
        </w:rPr>
        <w:t>月</w:t>
      </w:r>
      <w:r>
        <w:rPr>
          <w:rFonts w:hint="eastAsia" w:ascii="仿宋_GB2312" w:hAnsi="仿宋_GB2312" w:cs="仿宋_GB2312"/>
          <w:sz w:val="28"/>
          <w:szCs w:val="28"/>
          <w:lang w:val="en-US" w:eastAsia="zh-CN"/>
        </w:rPr>
        <w:t>15</w:t>
      </w:r>
      <w:r>
        <w:rPr>
          <w:rFonts w:hint="eastAsia" w:ascii="仿宋_GB2312" w:hAnsi="仿宋_GB2312" w:cs="仿宋_GB2312"/>
          <w:sz w:val="28"/>
          <w:szCs w:val="28"/>
        </w:rPr>
        <w:t>日印发</w:t>
      </w:r>
    </w:p>
    <w:sectPr>
      <w:footerReference r:id="rId3" w:type="default"/>
      <w:pgSz w:w="11906" w:h="16838"/>
      <w:pgMar w:top="1588" w:right="1247" w:bottom="1474" w:left="1474" w:header="851" w:footer="992" w:gutter="0"/>
      <w:pgNumType w:fmt="decimal"/>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9185"/>
        <w:tab w:val="clear" w:pos="4153"/>
      </w:tabs>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posOffset>5655945</wp:posOffset>
              </wp:positionH>
              <wp:positionV relativeFrom="paragraph">
                <wp:posOffset>-8890</wp:posOffset>
              </wp:positionV>
              <wp:extent cx="889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889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45.35pt;margin-top:-0.7pt;height:144pt;width:7pt;mso-position-horizontal-relative:margin;z-index:251659264;mso-width-relative:page;mso-height-relative:page;" filled="f" stroked="f" coordsize="21600,21600" o:gfxdata="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IhIcO9gAAAAKAQAADwAAAAAAAAABACAAAAAiAAAAZHJzL2Rvd25y&#10;ZXYueG1sUEsBAhQAFAAAAAgAh07iQEZEBGE3AgAAYQQAAA4AAAAAAAAAAQAgAAAAJwEAAGRycy9l&#10;Mm9Eb2MueG1sUEsFBgAAAAAGAAYAWQEAANA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r>
      <w:rPr>
        <w:rFonts w:hint="eastAsia"/>
        <w:lang w:eastAsia="zh-CN"/>
      </w:rPr>
      <w:tab/>
    </w:r>
    <w:r>
      <w:rPr>
        <w:rFonts w:hint="eastAsia"/>
        <w:lang w:eastAsia="zh-CN"/>
      </w:rPr>
      <w:t>—</w:t>
    </w:r>
    <w:r>
      <w:rPr>
        <w:rFonts w:hint="eastAsia"/>
        <w:lang w:val="en-US"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611DE"/>
    <w:rsid w:val="000C7195"/>
    <w:rsid w:val="001A1309"/>
    <w:rsid w:val="001A2C18"/>
    <w:rsid w:val="002C58F7"/>
    <w:rsid w:val="0038620A"/>
    <w:rsid w:val="003A608D"/>
    <w:rsid w:val="0041367A"/>
    <w:rsid w:val="00467CF0"/>
    <w:rsid w:val="004D6811"/>
    <w:rsid w:val="00513606"/>
    <w:rsid w:val="005A6EF5"/>
    <w:rsid w:val="005D5CD8"/>
    <w:rsid w:val="005E0BCD"/>
    <w:rsid w:val="005F5AF0"/>
    <w:rsid w:val="00645579"/>
    <w:rsid w:val="006833FC"/>
    <w:rsid w:val="00684050"/>
    <w:rsid w:val="00694538"/>
    <w:rsid w:val="00744EF0"/>
    <w:rsid w:val="00782BF3"/>
    <w:rsid w:val="007C0B2B"/>
    <w:rsid w:val="007F6352"/>
    <w:rsid w:val="008A0B24"/>
    <w:rsid w:val="009678C1"/>
    <w:rsid w:val="0097786E"/>
    <w:rsid w:val="009B01C1"/>
    <w:rsid w:val="00A034D6"/>
    <w:rsid w:val="00A153A1"/>
    <w:rsid w:val="00A7360E"/>
    <w:rsid w:val="00A75906"/>
    <w:rsid w:val="00A900C6"/>
    <w:rsid w:val="00B17589"/>
    <w:rsid w:val="00B4375F"/>
    <w:rsid w:val="00BD244D"/>
    <w:rsid w:val="00C2108C"/>
    <w:rsid w:val="00CA7DF6"/>
    <w:rsid w:val="00CD581C"/>
    <w:rsid w:val="00CE3498"/>
    <w:rsid w:val="00D20600"/>
    <w:rsid w:val="00D41E68"/>
    <w:rsid w:val="00D61783"/>
    <w:rsid w:val="00D732B2"/>
    <w:rsid w:val="00DB6B87"/>
    <w:rsid w:val="00DF1AB1"/>
    <w:rsid w:val="00E71CC9"/>
    <w:rsid w:val="00E76082"/>
    <w:rsid w:val="00E97E35"/>
    <w:rsid w:val="00EE3280"/>
    <w:rsid w:val="00F8041C"/>
    <w:rsid w:val="00F80817"/>
    <w:rsid w:val="00FA5618"/>
    <w:rsid w:val="00FE4ACD"/>
    <w:rsid w:val="00FE4F45"/>
    <w:rsid w:val="00FF7E42"/>
    <w:rsid w:val="0A5E71BF"/>
    <w:rsid w:val="0FFD0E0F"/>
    <w:rsid w:val="1A705C53"/>
    <w:rsid w:val="282F4FC7"/>
    <w:rsid w:val="28D60A35"/>
    <w:rsid w:val="3CBF1D30"/>
    <w:rsid w:val="3E693897"/>
    <w:rsid w:val="3ED344B1"/>
    <w:rsid w:val="5BA075BB"/>
    <w:rsid w:val="70A77276"/>
    <w:rsid w:val="73E07677"/>
    <w:rsid w:val="78EC5B39"/>
    <w:rsid w:val="7E515BE5"/>
    <w:rsid w:val="7FD745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5">
    <w:name w:val="heading 2"/>
    <w:basedOn w:val="1"/>
    <w:next w:val="1"/>
    <w:link w:val="18"/>
    <w:qFormat/>
    <w:uiPriority w:val="0"/>
    <w:pPr>
      <w:keepNext/>
      <w:keepLines/>
      <w:spacing w:line="416" w:lineRule="auto"/>
      <w:outlineLvl w:val="1"/>
    </w:pPr>
    <w:rPr>
      <w:rFonts w:ascii="Arial" w:hAnsi="Arial" w:eastAsia="黑体"/>
      <w:b/>
      <w:bCs/>
    </w:rPr>
  </w:style>
  <w:style w:type="paragraph" w:styleId="4">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semiHidden/>
    <w:qFormat/>
    <w:uiPriority w:val="0"/>
    <w:pPr>
      <w:spacing w:after="120"/>
      <w:ind w:left="420" w:leftChars="200"/>
    </w:pPr>
  </w:style>
  <w:style w:type="paragraph" w:styleId="6">
    <w:name w:val="Normal Indent"/>
    <w:basedOn w:val="1"/>
    <w:qFormat/>
    <w:uiPriority w:val="0"/>
    <w:pPr>
      <w:spacing w:line="600" w:lineRule="exact"/>
      <w:ind w:firstLine="420"/>
    </w:pPr>
    <w:rPr>
      <w:rFonts w:ascii="宋体" w:hAnsi="宋体" w:eastAsia="宋体" w:cs="宋体"/>
    </w:rPr>
  </w:style>
  <w:style w:type="paragraph" w:styleId="7">
    <w:name w:val="Body Text"/>
    <w:basedOn w:val="1"/>
    <w:link w:val="16"/>
    <w:qFormat/>
    <w:uiPriority w:val="0"/>
    <w:pPr>
      <w:spacing w:after="120"/>
    </w:pPr>
    <w:rPr>
      <w:rFonts w:eastAsia="宋体"/>
    </w:rPr>
  </w:style>
  <w:style w:type="paragraph" w:styleId="8">
    <w:name w:val="footer"/>
    <w:basedOn w:val="1"/>
    <w:link w:val="14"/>
    <w:unhideWhenUsed/>
    <w:qFormat/>
    <w:uiPriority w:val="99"/>
    <w:pPr>
      <w:tabs>
        <w:tab w:val="center" w:pos="4153"/>
        <w:tab w:val="right" w:pos="8306"/>
      </w:tabs>
      <w:snapToGrid w:val="0"/>
      <w:jc w:val="left"/>
    </w:pPr>
    <w:rPr>
      <w:sz w:val="18"/>
      <w:szCs w:val="18"/>
    </w:rPr>
  </w:style>
  <w:style w:type="paragraph" w:styleId="9">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12">
    <w:name w:val="表格内"/>
    <w:basedOn w:val="1"/>
    <w:qFormat/>
    <w:uiPriority w:val="0"/>
    <w:pPr>
      <w:adjustRightInd w:val="0"/>
      <w:snapToGrid w:val="0"/>
      <w:spacing w:line="360" w:lineRule="exact"/>
      <w:jc w:val="center"/>
    </w:pPr>
    <w:rPr>
      <w:rFonts w:eastAsia="Times New Roman"/>
      <w:snapToGrid w:val="0"/>
      <w:kern w:val="0"/>
      <w:sz w:val="21"/>
      <w:szCs w:val="21"/>
      <w:lang w:val="zh-CN"/>
    </w:rPr>
  </w:style>
  <w:style w:type="character" w:customStyle="1" w:styleId="13">
    <w:name w:val="页眉 Char"/>
    <w:basedOn w:val="11"/>
    <w:link w:val="9"/>
    <w:semiHidden/>
    <w:qFormat/>
    <w:uiPriority w:val="99"/>
    <w:rPr>
      <w:sz w:val="18"/>
      <w:szCs w:val="18"/>
    </w:rPr>
  </w:style>
  <w:style w:type="character" w:customStyle="1" w:styleId="14">
    <w:name w:val="页脚 Char"/>
    <w:basedOn w:val="11"/>
    <w:link w:val="8"/>
    <w:qFormat/>
    <w:uiPriority w:val="99"/>
    <w:rPr>
      <w:sz w:val="18"/>
      <w:szCs w:val="18"/>
    </w:rPr>
  </w:style>
  <w:style w:type="paragraph" w:customStyle="1" w:styleId="15">
    <w:name w:val="Default"/>
    <w:basedOn w:val="1"/>
    <w:qFormat/>
    <w:uiPriority w:val="0"/>
    <w:pPr>
      <w:autoSpaceDE w:val="0"/>
      <w:autoSpaceDN w:val="0"/>
      <w:jc w:val="left"/>
    </w:pPr>
    <w:rPr>
      <w:rFonts w:hint="eastAsia" w:ascii="宋体" w:eastAsia="宋体"/>
      <w:color w:val="000000"/>
      <w:kern w:val="0"/>
      <w:sz w:val="24"/>
      <w:szCs w:val="24"/>
    </w:rPr>
  </w:style>
  <w:style w:type="character" w:customStyle="1" w:styleId="16">
    <w:name w:val="正文文本 Char"/>
    <w:basedOn w:val="11"/>
    <w:link w:val="7"/>
    <w:qFormat/>
    <w:uiPriority w:val="0"/>
    <w:rPr>
      <w:rFonts w:ascii="Times New Roman" w:hAnsi="Times New Roman" w:eastAsia="宋体" w:cs="Times New Roman"/>
      <w:sz w:val="32"/>
      <w:szCs w:val="32"/>
    </w:rPr>
  </w:style>
  <w:style w:type="paragraph" w:styleId="17">
    <w:name w:val="List Paragraph"/>
    <w:basedOn w:val="1"/>
    <w:qFormat/>
    <w:uiPriority w:val="34"/>
    <w:pPr>
      <w:ind w:firstLine="420" w:firstLineChars="200"/>
    </w:pPr>
  </w:style>
  <w:style w:type="character" w:customStyle="1" w:styleId="18">
    <w:name w:val="标题 2 Char"/>
    <w:basedOn w:val="11"/>
    <w:link w:val="5"/>
    <w:qFormat/>
    <w:uiPriority w:val="0"/>
    <w:rPr>
      <w:rFonts w:ascii="Arial" w:hAnsi="Arial" w:eastAsia="黑体" w:cs="Times New Roman"/>
      <w:b/>
      <w:bCs/>
      <w:sz w:val="32"/>
      <w:szCs w:val="32"/>
    </w:rPr>
  </w:style>
  <w:style w:type="character" w:customStyle="1" w:styleId="19">
    <w:name w:val="fontstyle01"/>
    <w:basedOn w:val="11"/>
    <w:qFormat/>
    <w:uiPriority w:val="0"/>
    <w:rPr>
      <w:rFonts w:hint="eastAsia" w:ascii="宋体" w:hAnsi="宋体" w:eastAsia="宋体"/>
      <w:color w:val="000000"/>
      <w:sz w:val="24"/>
      <w:szCs w:val="24"/>
    </w:rPr>
  </w:style>
  <w:style w:type="character" w:customStyle="1" w:styleId="20">
    <w:name w:val="fontstyle21"/>
    <w:basedOn w:val="11"/>
    <w:qFormat/>
    <w:uiPriority w:val="0"/>
    <w:rPr>
      <w:rFonts w:hint="default" w:ascii="TimesNewRomanPSMT" w:hAnsi="TimesNewRomanPSMT"/>
      <w:color w:val="000000"/>
      <w:sz w:val="24"/>
      <w:szCs w:val="24"/>
    </w:rPr>
  </w:style>
  <w:style w:type="paragraph" w:customStyle="1" w:styleId="21">
    <w:name w:val="正文LLLLLLL"/>
    <w:basedOn w:val="1"/>
    <w:qFormat/>
    <w:uiPriority w:val="0"/>
    <w:pPr>
      <w:spacing w:line="520" w:lineRule="exact"/>
      <w:ind w:firstLine="578" w:firstLineChars="200"/>
      <w:jc w:val="both"/>
    </w:pPr>
    <w:rPr>
      <w:rFonts w:ascii="Times New Roman" w:hAnsi="Times New Roman" w:eastAsia="宋体" w:cs="Times New Roman"/>
      <w:kern w:val="0"/>
      <w:sz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3EF65F-0D40-4A8C-B280-DCD11503DA5F}">
  <ds:schemaRefs/>
</ds:datastoreItem>
</file>

<file path=docProps/app.xml><?xml version="1.0" encoding="utf-8"?>
<Properties xmlns="http://schemas.openxmlformats.org/officeDocument/2006/extended-properties" xmlns:vt="http://schemas.openxmlformats.org/officeDocument/2006/docPropsVTypes">
  <Template>Normal</Template>
  <Pages>5</Pages>
  <Words>413</Words>
  <Characters>2359</Characters>
  <Lines>19</Lines>
  <Paragraphs>5</Paragraphs>
  <TotalTime>43</TotalTime>
  <ScaleCrop>false</ScaleCrop>
  <LinksUpToDate>false</LinksUpToDate>
  <CharactersWithSpaces>2767</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2021-02-01T03:06:00Z</dcterms:created>
  <dc:creator>Lenovo</dc:creator>
  <cp:lastModifiedBy>陌</cp:lastModifiedBy>
  <cp:lastPrinted>2021-07-01T10:44:57Z</cp:lastPrinted>
  <dcterms:modified xsi:type="dcterms:W3CDTF">2021-07-01T12:00:23Z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F2DBB701F74949A88ADF24AC8ABA0E12</vt:lpwstr>
  </property>
</Properties>
</file>