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10" w:rsidRDefault="001D4610">
      <w:pPr>
        <w:spacing w:line="560" w:lineRule="exact"/>
        <w:rPr>
          <w:sz w:val="44"/>
          <w:szCs w:val="44"/>
        </w:rPr>
      </w:pPr>
    </w:p>
    <w:p w:rsidR="001D4610" w:rsidRDefault="001D4610">
      <w:pPr>
        <w:pStyle w:val="a0"/>
        <w:rPr>
          <w:sz w:val="44"/>
          <w:szCs w:val="44"/>
        </w:rPr>
      </w:pPr>
    </w:p>
    <w:p w:rsidR="001D4610" w:rsidRDefault="001D4610">
      <w:pPr>
        <w:pStyle w:val="a0"/>
        <w:rPr>
          <w:sz w:val="44"/>
          <w:szCs w:val="44"/>
        </w:rPr>
      </w:pPr>
    </w:p>
    <w:p w:rsidR="001D4610" w:rsidRDefault="001D4610">
      <w:pPr>
        <w:pStyle w:val="a0"/>
        <w:rPr>
          <w:sz w:val="44"/>
          <w:szCs w:val="44"/>
        </w:rPr>
      </w:pPr>
    </w:p>
    <w:p w:rsidR="001D4610" w:rsidRDefault="001D4610">
      <w:pPr>
        <w:pStyle w:val="a0"/>
        <w:rPr>
          <w:sz w:val="44"/>
          <w:szCs w:val="44"/>
        </w:rPr>
      </w:pPr>
    </w:p>
    <w:p w:rsidR="001D4610" w:rsidRDefault="001D4610">
      <w:pPr>
        <w:pStyle w:val="a0"/>
        <w:rPr>
          <w:sz w:val="44"/>
          <w:szCs w:val="44"/>
        </w:rPr>
      </w:pPr>
    </w:p>
    <w:p w:rsidR="001D4610" w:rsidRDefault="002D52FA">
      <w:pPr>
        <w:spacing w:line="560" w:lineRule="exact"/>
        <w:rPr>
          <w:sz w:val="44"/>
          <w:szCs w:val="44"/>
        </w:rPr>
      </w:pPr>
      <w:r>
        <w:rPr>
          <w:noProof/>
          <w:sz w:val="44"/>
          <w:szCs w:val="44"/>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1D4610" w:rsidRDefault="002D52FA">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21]</w:t>
                            </w:r>
                            <w:r w:rsidR="00E57435">
                              <w:rPr>
                                <w:rFonts w:hint="eastAsia"/>
                              </w:rPr>
                              <w:t>41</w:t>
                            </w:r>
                            <w:r>
                              <w:rPr>
                                <w:rFonts w:hint="eastAsia"/>
                              </w:rPr>
                              <w:t>号</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" strokecolor="white">
                <v:textbox>
                  <w:txbxContent>
                    <w:p w:rsidR="001D4610" w:rsidRDefault="002D52FA">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21]</w:t>
                      </w:r>
                      <w:r w:rsidR="00E57435">
                        <w:rPr>
                          <w:rFonts w:hint="eastAsia"/>
                        </w:rPr>
                        <w:t>41</w:t>
                      </w:r>
                      <w:r>
                        <w:rPr>
                          <w:rFonts w:hint="eastAsia"/>
                        </w:rPr>
                        <w:t>号</w:t>
                      </w:r>
                    </w:p>
                  </w:txbxContent>
                </v:textbox>
              </v:shape>
            </w:pict>
          </mc:Fallback>
        </mc:AlternateContent>
      </w:r>
    </w:p>
    <w:p w:rsidR="001D4610" w:rsidRDefault="001D4610">
      <w:pPr>
        <w:spacing w:line="560" w:lineRule="exact"/>
      </w:pPr>
    </w:p>
    <w:p w:rsidR="001D4610" w:rsidRDefault="001D4610">
      <w:pPr>
        <w:spacing w:line="560" w:lineRule="exact"/>
        <w:jc w:val="center"/>
      </w:pPr>
    </w:p>
    <w:p w:rsidR="001D4610" w:rsidRDefault="002D52FA">
      <w:pPr>
        <w:spacing w:line="640" w:lineRule="exact"/>
        <w:jc w:val="center"/>
        <w:rPr>
          <w:rFonts w:ascii="方正小标宋简体" w:eastAsia="方正小标宋简体" w:hAnsiTheme="minorEastAsia" w:cs="方正小标宋简体"/>
          <w:sz w:val="44"/>
          <w:szCs w:val="44"/>
        </w:rPr>
      </w:pPr>
      <w:r>
        <w:rPr>
          <w:rFonts w:ascii="方正小标宋简体" w:eastAsia="方正小标宋简体" w:hAnsiTheme="minorEastAsia" w:cs="方正小标宋简体" w:hint="eastAsia"/>
          <w:sz w:val="44"/>
          <w:szCs w:val="44"/>
        </w:rPr>
        <w:t>关于新疆生产建设兵团第一师六团屠宰场建设项目环境影响报告表的批复</w:t>
      </w:r>
    </w:p>
    <w:p w:rsidR="001D4610" w:rsidRDefault="001D4610"/>
    <w:p w:rsidR="001D4610" w:rsidRDefault="002D52FA">
      <w:pPr>
        <w:adjustRightInd w:val="0"/>
        <w:snapToGrid w:val="0"/>
        <w:spacing w:line="560" w:lineRule="exact"/>
      </w:pPr>
      <w:proofErr w:type="gramStart"/>
      <w:r>
        <w:t>阿拉尔市锦牧肉食品</w:t>
      </w:r>
      <w:proofErr w:type="gramEnd"/>
      <w:r>
        <w:t>有限公司：</w:t>
      </w:r>
    </w:p>
    <w:p w:rsidR="001D4610" w:rsidRDefault="002D52FA" w:rsidP="00E57435">
      <w:pPr>
        <w:adjustRightInd w:val="0"/>
        <w:snapToGrid w:val="0"/>
        <w:spacing w:line="560" w:lineRule="exact"/>
        <w:ind w:firstLineChars="200" w:firstLine="609"/>
      </w:pPr>
      <w:r>
        <w:t>你单位报送的《关于送审新疆生产建设兵团第一师六团屠宰场建设项目环评审批的请示》及《新疆生产建设兵团第一师六团屠宰场建设项目环境影响报告表</w:t>
      </w:r>
      <w:proofErr w:type="gramStart"/>
      <w:r>
        <w:t>》</w:t>
      </w:r>
      <w:proofErr w:type="gramEnd"/>
      <w:r>
        <w:t>（以下简称</w:t>
      </w:r>
      <w:r>
        <w:t>“</w:t>
      </w:r>
      <w:r>
        <w:t>报告表</w:t>
      </w:r>
      <w:r>
        <w:t>”</w:t>
      </w:r>
      <w:r>
        <w:t>）收悉。经专家审查和研究，现批复如下：</w:t>
      </w:r>
    </w:p>
    <w:p w:rsidR="001D4610" w:rsidRDefault="002D52FA">
      <w:pPr>
        <w:adjustRightInd w:val="0"/>
        <w:snapToGrid w:val="0"/>
        <w:spacing w:line="560" w:lineRule="exact"/>
      </w:pPr>
      <w:r>
        <w:t xml:space="preserve">    </w:t>
      </w:r>
      <w:r>
        <w:t>一、该项目</w:t>
      </w:r>
      <w:r>
        <w:rPr>
          <w:kern w:val="0"/>
        </w:rPr>
        <w:t>位于</w:t>
      </w:r>
      <w:r>
        <w:rPr>
          <w:bCs/>
          <w:color w:val="000000"/>
        </w:rPr>
        <w:t>新疆第一师六团职</w:t>
      </w:r>
      <w:proofErr w:type="gramStart"/>
      <w:r>
        <w:rPr>
          <w:bCs/>
          <w:color w:val="000000"/>
        </w:rPr>
        <w:t>工创业</w:t>
      </w:r>
      <w:proofErr w:type="gramEnd"/>
      <w:r>
        <w:rPr>
          <w:bCs/>
          <w:color w:val="000000"/>
        </w:rPr>
        <w:t>园二区</w:t>
      </w:r>
      <w:r>
        <w:rPr>
          <w:color w:val="000000" w:themeColor="text1"/>
        </w:rPr>
        <w:t>，项目南侧是排碱渠及林带、东侧为空地及林带、西侧为阿拉尔市</w:t>
      </w:r>
      <w:proofErr w:type="gramStart"/>
      <w:r>
        <w:rPr>
          <w:color w:val="000000" w:themeColor="text1"/>
        </w:rPr>
        <w:t>鑫</w:t>
      </w:r>
      <w:proofErr w:type="gramEnd"/>
      <w:r>
        <w:rPr>
          <w:color w:val="000000" w:themeColor="text1"/>
        </w:rPr>
        <w:t>宏达塑料制</w:t>
      </w:r>
      <w:r>
        <w:rPr>
          <w:color w:val="000000" w:themeColor="text1"/>
        </w:rPr>
        <w:lastRenderedPageBreak/>
        <w:t>品厂、北侧空地和已废弃工厂，厂区中心地理坐标为：东经</w:t>
      </w:r>
      <w:r>
        <w:rPr>
          <w:color w:val="000000" w:themeColor="text1"/>
        </w:rPr>
        <w:t>80°26'10.2"</w:t>
      </w:r>
      <w:r>
        <w:rPr>
          <w:color w:val="000000" w:themeColor="text1"/>
        </w:rPr>
        <w:t>，北纬</w:t>
      </w:r>
      <w:r>
        <w:rPr>
          <w:color w:val="000000" w:themeColor="text1"/>
        </w:rPr>
        <w:t>40°59'3.5"</w:t>
      </w:r>
      <w:r>
        <w:rPr>
          <w:color w:val="000000" w:themeColor="text1"/>
        </w:rPr>
        <w:t>。该项目总占地约为</w:t>
      </w:r>
      <w:r>
        <w:rPr>
          <w:color w:val="000000" w:themeColor="text1"/>
        </w:rPr>
        <w:t>26592.25m</w:t>
      </w:r>
      <w:r>
        <w:rPr>
          <w:color w:val="000000" w:themeColor="text1"/>
          <w:vertAlign w:val="superscript"/>
        </w:rPr>
        <w:t>2</w:t>
      </w:r>
      <w:r>
        <w:rPr>
          <w:color w:val="000000" w:themeColor="text1"/>
        </w:rPr>
        <w:t>，总建筑面积为</w:t>
      </w:r>
      <w:r>
        <w:rPr>
          <w:color w:val="000000" w:themeColor="text1"/>
        </w:rPr>
        <w:t>8714.84 m</w:t>
      </w:r>
      <w:r>
        <w:rPr>
          <w:color w:val="000000" w:themeColor="text1"/>
          <w:vertAlign w:val="superscript"/>
        </w:rPr>
        <w:t>2</w:t>
      </w:r>
      <w:r>
        <w:rPr>
          <w:color w:val="000000" w:themeColor="text1"/>
        </w:rPr>
        <w:t>，主要建设内容为：屠宰车间、副产品加工车间、污水处理站及附属配套设施。项目</w:t>
      </w:r>
      <w:r>
        <w:rPr>
          <w:bCs/>
          <w:color w:val="000000"/>
        </w:rPr>
        <w:t>建成后</w:t>
      </w:r>
      <w:r>
        <w:rPr>
          <w:color w:val="000000"/>
        </w:rPr>
        <w:t>年屠宰加工</w:t>
      </w:r>
      <w:r>
        <w:rPr>
          <w:color w:val="000000"/>
        </w:rPr>
        <w:t>8</w:t>
      </w:r>
      <w:r>
        <w:rPr>
          <w:color w:val="000000"/>
        </w:rPr>
        <w:t>万头生猪</w:t>
      </w:r>
      <w:r>
        <w:t>。项目</w:t>
      </w:r>
      <w:r>
        <w:rPr>
          <w:color w:val="000000" w:themeColor="text1"/>
          <w:kern w:val="24"/>
          <w:lang w:val="en-GB"/>
        </w:rPr>
        <w:t>总投资</w:t>
      </w:r>
      <w:r>
        <w:rPr>
          <w:color w:val="000000" w:themeColor="text1"/>
        </w:rPr>
        <w:t>3229</w:t>
      </w:r>
      <w:r>
        <w:rPr>
          <w:color w:val="000000" w:themeColor="text1"/>
        </w:rPr>
        <w:t>万元，其中环保投资</w:t>
      </w:r>
      <w:r>
        <w:rPr>
          <w:color w:val="000000" w:themeColor="text1"/>
        </w:rPr>
        <w:t>206.7</w:t>
      </w:r>
      <w:r>
        <w:rPr>
          <w:color w:val="000000" w:themeColor="text1"/>
        </w:rPr>
        <w:t>万元，占总投资的</w:t>
      </w:r>
      <w:r>
        <w:rPr>
          <w:color w:val="000000" w:themeColor="text1"/>
        </w:rPr>
        <w:t>6.4%</w:t>
      </w:r>
      <w:r>
        <w:rPr>
          <w:color w:val="000000" w:themeColor="text1"/>
        </w:rPr>
        <w:t>。</w:t>
      </w:r>
    </w:p>
    <w:p w:rsidR="001D4610" w:rsidRDefault="002D52FA">
      <w:pPr>
        <w:adjustRightInd w:val="0"/>
        <w:snapToGrid w:val="0"/>
        <w:spacing w:line="560" w:lineRule="exact"/>
        <w:ind w:firstLine="630"/>
        <w:rPr>
          <w:color w:val="000000"/>
        </w:rPr>
      </w:pPr>
      <w:r>
        <w:rPr>
          <w:color w:val="000000" w:themeColor="text1"/>
        </w:rPr>
        <w:t>二、</w:t>
      </w:r>
      <w:r>
        <w:rPr>
          <w:color w:val="000000"/>
        </w:rPr>
        <w:t>该项目为屠宰类项目，我局原则同意报告表的结论。该项目主要工艺流程为：宰前检疫</w:t>
      </w:r>
      <w:r>
        <w:rPr>
          <w:color w:val="000000" w:themeColor="text1"/>
        </w:rPr>
        <w:t>→</w:t>
      </w:r>
      <w:r>
        <w:rPr>
          <w:color w:val="000000"/>
        </w:rPr>
        <w:t>停食饮水静养</w:t>
      </w:r>
      <w:r>
        <w:rPr>
          <w:color w:val="000000" w:themeColor="text1"/>
        </w:rPr>
        <w:t>→</w:t>
      </w:r>
      <w:r>
        <w:rPr>
          <w:color w:val="000000"/>
        </w:rPr>
        <w:t>宰前淋浴</w:t>
      </w:r>
      <w:r>
        <w:rPr>
          <w:color w:val="000000" w:themeColor="text1"/>
        </w:rPr>
        <w:t>→</w:t>
      </w:r>
      <w:r>
        <w:rPr>
          <w:color w:val="000000"/>
        </w:rPr>
        <w:t>宰杀工序</w:t>
      </w:r>
      <w:r>
        <w:rPr>
          <w:color w:val="000000" w:themeColor="text1"/>
        </w:rPr>
        <w:t>→</w:t>
      </w:r>
      <w:r>
        <w:rPr>
          <w:color w:val="000000"/>
        </w:rPr>
        <w:t>浸</w:t>
      </w:r>
      <w:proofErr w:type="gramStart"/>
      <w:r>
        <w:rPr>
          <w:color w:val="000000"/>
        </w:rPr>
        <w:t>烫刨毛</w:t>
      </w:r>
      <w:proofErr w:type="gramEnd"/>
      <w:r>
        <w:rPr>
          <w:color w:val="000000" w:themeColor="text1"/>
        </w:rPr>
        <w:t>→</w:t>
      </w:r>
      <w:r>
        <w:rPr>
          <w:color w:val="000000"/>
        </w:rPr>
        <w:t>胴体加工</w:t>
      </w:r>
      <w:r>
        <w:rPr>
          <w:color w:val="000000" w:themeColor="text1"/>
        </w:rPr>
        <w:t>→</w:t>
      </w:r>
      <w:r>
        <w:rPr>
          <w:color w:val="000000"/>
        </w:rPr>
        <w:t>肉检项目，经投资主管部门依法审批后，你单位须严格按照报告表所列建设项目的性质、规模、地点、环保措施要求实施项目建设。</w:t>
      </w:r>
    </w:p>
    <w:p w:rsidR="001D4610" w:rsidRDefault="002D52FA">
      <w:pPr>
        <w:adjustRightInd w:val="0"/>
        <w:snapToGrid w:val="0"/>
        <w:spacing w:line="560" w:lineRule="exact"/>
        <w:ind w:firstLine="630"/>
      </w:pPr>
      <w:r>
        <w:rPr>
          <w:color w:val="000000" w:themeColor="text1"/>
        </w:rPr>
        <w:t>三、你单位在项目建设和运营中，应严格执行有关环境质量标准和污染物排放标准，认真、全面落实报告表提出的</w:t>
      </w:r>
      <w:r>
        <w:t>各项环保对策措施要求，确保污染物达标排放和</w:t>
      </w:r>
      <w:proofErr w:type="gramStart"/>
      <w:r>
        <w:t>各环境</w:t>
      </w:r>
      <w:proofErr w:type="gramEnd"/>
      <w:r>
        <w:t>敏感点满足相应功能要求。重点做好以下工作：</w:t>
      </w:r>
    </w:p>
    <w:p w:rsidR="001D4610" w:rsidRDefault="002D52FA" w:rsidP="00E57435">
      <w:pPr>
        <w:adjustRightInd w:val="0"/>
        <w:snapToGrid w:val="0"/>
        <w:spacing w:line="560" w:lineRule="exact"/>
        <w:ind w:firstLineChars="200" w:firstLine="609"/>
      </w:pPr>
      <w:r>
        <w:t>（一）认真落实施工期环境保护措施。做好施工期过程中降噪、防尘措施及施工固废的清理工作，妥善处置施工废弃物、生活垃圾及生活污水。</w:t>
      </w:r>
    </w:p>
    <w:p w:rsidR="001D4610" w:rsidRDefault="002D52FA" w:rsidP="00E57435">
      <w:pPr>
        <w:adjustRightInd w:val="0"/>
        <w:snapToGrid w:val="0"/>
        <w:spacing w:line="560" w:lineRule="exact"/>
        <w:ind w:firstLineChars="200" w:firstLine="609"/>
      </w:pPr>
      <w:r>
        <w:t>（二）严格落实水污染防治措施。项目运营期废水主要为生产废水、生活废水及锅炉软化水。其中生产废水主要是屠宰废水、切割废水、待宰间及屠宰加工车间地面清洗废水。生活污水及锅炉软</w:t>
      </w:r>
      <w:r>
        <w:lastRenderedPageBreak/>
        <w:t>化水并入厂区污水处理站进行处理；生产废水经</w:t>
      </w:r>
      <w:r>
        <w:t>“</w:t>
      </w:r>
      <w:r>
        <w:t>预处理</w:t>
      </w:r>
      <w:r>
        <w:t>+</w:t>
      </w:r>
      <w:r>
        <w:t>水解酸化</w:t>
      </w:r>
      <w:r>
        <w:t>+A/O+</w:t>
      </w:r>
      <w:r>
        <w:t>消毒</w:t>
      </w:r>
      <w:r>
        <w:t>”</w:t>
      </w:r>
      <w:r>
        <w:t>工艺处理后，满足《肉类加工工业水污染物排放标准》（</w:t>
      </w:r>
      <w:r>
        <w:t>GB13457-92</w:t>
      </w:r>
      <w:r>
        <w:t>）表</w:t>
      </w:r>
      <w:r>
        <w:t>3</w:t>
      </w:r>
      <w:proofErr w:type="gramStart"/>
      <w:r>
        <w:t>三</w:t>
      </w:r>
      <w:proofErr w:type="gramEnd"/>
      <w:r>
        <w:t>级标准及《污水综合排放标准》（</w:t>
      </w:r>
      <w:r>
        <w:t>GB8978-1996</w:t>
      </w:r>
      <w:r>
        <w:t>）三级标准后，排入园区下水管网，最终进入六团污水处理厂进行处理</w:t>
      </w:r>
      <w:r>
        <w:t>(</w:t>
      </w:r>
      <w:r>
        <w:t>六团污水处理厂未正式运行前，该企业不得生产</w:t>
      </w:r>
      <w:r>
        <w:t>)</w:t>
      </w:r>
      <w:r>
        <w:t>。</w:t>
      </w:r>
    </w:p>
    <w:p w:rsidR="001D4610" w:rsidRDefault="002D52FA" w:rsidP="00E57435">
      <w:pPr>
        <w:spacing w:line="560" w:lineRule="exact"/>
        <w:ind w:firstLineChars="200" w:firstLine="609"/>
      </w:pPr>
      <w:r>
        <w:t>（三）</w:t>
      </w:r>
      <w:r>
        <w:rPr>
          <w:snapToGrid w:val="0"/>
        </w:rPr>
        <w:t>严格落实大气污染防治措施。</w:t>
      </w:r>
      <w:r>
        <w:t>营运期大气污染物主要是待宰间恶臭气体、粪污暂存间恶臭气体、屠宰加工车间恶臭气体、污水处理设施气体恶臭气体及食堂油烟。待宰间恶臭气体、粪污暂存间恶臭气体、屠宰加工车间恶臭气体及污水处理设施气体恶臭气体经</w:t>
      </w:r>
      <w:r>
        <w:t>“</w:t>
      </w:r>
      <w:r>
        <w:t>集气罩</w:t>
      </w:r>
      <w:r>
        <w:t>+</w:t>
      </w:r>
      <w:r>
        <w:t>活性炭装置</w:t>
      </w:r>
      <w:r>
        <w:t>”</w:t>
      </w:r>
      <w:r>
        <w:t>处理后，</w:t>
      </w:r>
      <w:r>
        <w:rPr>
          <w:bCs/>
        </w:rPr>
        <w:t>有组织恶臭污染物排放满足《恶臭污染物排放标准》（</w:t>
      </w:r>
      <w:r>
        <w:rPr>
          <w:bCs/>
        </w:rPr>
        <w:t>GB14554-93</w:t>
      </w:r>
      <w:r>
        <w:rPr>
          <w:bCs/>
        </w:rPr>
        <w:t>）</w:t>
      </w:r>
      <w:r>
        <w:t>后，经</w:t>
      </w:r>
      <w:r>
        <w:t>15m</w:t>
      </w:r>
      <w:r>
        <w:t>排气筒排放；该项目通过在屠宰车间、待宰间、粪污暂存间和污水处理站安装活性炭吸附装置、安装换气扇等措施后，厂界满足《恶臭污染物排放标准》（</w:t>
      </w:r>
      <w:r>
        <w:t>GB14554-93</w:t>
      </w:r>
      <w:r>
        <w:t>）中表</w:t>
      </w:r>
      <w:r>
        <w:t>1</w:t>
      </w:r>
      <w:r>
        <w:t>排放标准。该项目卫生防护距离为</w:t>
      </w:r>
      <w:r>
        <w:t>400m</w:t>
      </w:r>
      <w:r>
        <w:t>，此范围内不得修建居住、文化教育卫生等公共活动场所。</w:t>
      </w:r>
    </w:p>
    <w:p w:rsidR="001D4610" w:rsidRDefault="002D52FA">
      <w:pPr>
        <w:spacing w:line="560" w:lineRule="exact"/>
        <w:ind w:firstLine="630"/>
      </w:pPr>
      <w:r>
        <w:t>（四）</w:t>
      </w:r>
      <w:r>
        <w:rPr>
          <w:snapToGrid w:val="0"/>
        </w:rPr>
        <w:t>严格落实噪音污染防治措施。</w:t>
      </w:r>
      <w:r>
        <w:t>该项目运营期间，通过采取选用低噪设备、安装隔音消声设备、基础减震、厂房隔声、污水处理站置于底下等措施确保厂界噪声满足《工业企业厂界环境噪声排放标准》（</w:t>
      </w:r>
      <w:r>
        <w:t>GB12348-2008</w:t>
      </w:r>
      <w:r>
        <w:t>）</w:t>
      </w:r>
      <w:r>
        <w:t>3</w:t>
      </w:r>
      <w:r>
        <w:t>类标准要求</w:t>
      </w:r>
      <w:r>
        <w:t>[</w:t>
      </w:r>
      <w:r>
        <w:t>昼间：</w:t>
      </w:r>
      <w:r>
        <w:t>65dB(A)</w:t>
      </w:r>
      <w:r>
        <w:t>，夜间</w:t>
      </w:r>
      <w:r>
        <w:t>55dB(A)]</w:t>
      </w:r>
      <w:r>
        <w:t>。</w:t>
      </w:r>
    </w:p>
    <w:p w:rsidR="001D4610" w:rsidRDefault="002D52FA">
      <w:pPr>
        <w:pStyle w:val="a4"/>
        <w:spacing w:line="560" w:lineRule="exact"/>
        <w:rPr>
          <w:rFonts w:eastAsia="仿宋_GB2312"/>
          <w:sz w:val="32"/>
          <w:szCs w:val="32"/>
        </w:rPr>
      </w:pPr>
      <w:r>
        <w:rPr>
          <w:rFonts w:eastAsia="仿宋_GB2312"/>
          <w:snapToGrid w:val="0"/>
          <w:sz w:val="32"/>
          <w:szCs w:val="32"/>
        </w:rPr>
        <w:t>（五）</w:t>
      </w:r>
      <w:r>
        <w:rPr>
          <w:rFonts w:eastAsia="仿宋_GB2312"/>
          <w:sz w:val="32"/>
          <w:szCs w:val="32"/>
        </w:rPr>
        <w:t>严格落实固体废物分类处置和分类利用措施。项目固体</w:t>
      </w:r>
      <w:r>
        <w:rPr>
          <w:rFonts w:eastAsia="仿宋_GB2312"/>
          <w:sz w:val="32"/>
          <w:szCs w:val="32"/>
        </w:rPr>
        <w:lastRenderedPageBreak/>
        <w:t>废物主要为病疫猪及不合格胴体、猪粪便、肠胃内容物、猪毛、污水处理站运行中产生的污泥、隔油池产生的废油、废活性炭及生活垃圾。病疫猪及不合格胴体由厂区在安全处置区建设安全填埋井进行无害化填埋处理；猪粪便、肠胃内容物经收集后，均暂存于粪污暂存间，定期外运售给生物有机肥厂制作肥料；猪毛采用带盖容器收集，定期外售综合利用；隔油池废油及经过污泥浓缩池浓缩和压滤机脱水处理后的污水处理站污泥交由有机肥厂制作有机肥料；废活性炭属于危险废物，经收集后</w:t>
      </w:r>
      <w:proofErr w:type="gramStart"/>
      <w:r>
        <w:rPr>
          <w:rFonts w:eastAsia="仿宋_GB2312"/>
          <w:sz w:val="32"/>
          <w:szCs w:val="32"/>
        </w:rPr>
        <w:t>暂存于危废贮存</w:t>
      </w:r>
      <w:proofErr w:type="gramEnd"/>
      <w:r>
        <w:rPr>
          <w:rFonts w:eastAsia="仿宋_GB2312"/>
          <w:sz w:val="32"/>
          <w:szCs w:val="32"/>
        </w:rPr>
        <w:t>间，定期交由有</w:t>
      </w:r>
      <w:proofErr w:type="gramStart"/>
      <w:r>
        <w:rPr>
          <w:rFonts w:eastAsia="仿宋_GB2312"/>
          <w:sz w:val="32"/>
          <w:szCs w:val="32"/>
        </w:rPr>
        <w:t>危废处理</w:t>
      </w:r>
      <w:proofErr w:type="gramEnd"/>
      <w:r>
        <w:rPr>
          <w:rFonts w:eastAsia="仿宋_GB2312"/>
          <w:sz w:val="32"/>
          <w:szCs w:val="32"/>
        </w:rPr>
        <w:t>资质的资质单位处置。危险废物暂存间的设置及设计必须符合《危险废物贮存污染控制标准》（</w:t>
      </w:r>
      <w:r>
        <w:rPr>
          <w:rFonts w:eastAsia="仿宋_GB2312"/>
          <w:sz w:val="32"/>
          <w:szCs w:val="32"/>
        </w:rPr>
        <w:t>GB18597-2001</w:t>
      </w:r>
      <w:r>
        <w:rPr>
          <w:rFonts w:eastAsia="仿宋_GB2312"/>
          <w:sz w:val="32"/>
          <w:szCs w:val="32"/>
        </w:rPr>
        <w:t>）及</w:t>
      </w:r>
      <w:r>
        <w:rPr>
          <w:rFonts w:eastAsia="仿宋_GB2312"/>
          <w:sz w:val="32"/>
          <w:szCs w:val="32"/>
        </w:rPr>
        <w:t>2013</w:t>
      </w:r>
      <w:r>
        <w:rPr>
          <w:rFonts w:eastAsia="仿宋_GB2312"/>
          <w:sz w:val="32"/>
          <w:szCs w:val="32"/>
        </w:rPr>
        <w:t>年修改单中的相关标准要求。</w:t>
      </w:r>
      <w:r>
        <w:rPr>
          <w:rFonts w:eastAsia="仿宋_GB2312"/>
          <w:sz w:val="32"/>
          <w:szCs w:val="32"/>
        </w:rPr>
        <w:t> </w:t>
      </w:r>
    </w:p>
    <w:p w:rsidR="001D4610" w:rsidRDefault="002D52FA" w:rsidP="00E57435">
      <w:pPr>
        <w:adjustRightInd w:val="0"/>
        <w:snapToGrid w:val="0"/>
        <w:spacing w:line="560" w:lineRule="exact"/>
        <w:ind w:firstLineChars="200" w:firstLine="609"/>
      </w:pPr>
      <w:r>
        <w:t>（六）建立健全运行期环保管理制度，完善环境风险事故应急预案和事故防范措施，建立应急救援指挥系统，并定期进行应急培训和演练。做好日常巡检维修，及时发现、处理故障，保证污水处理厂的正常运行，编制《突发环境事件应急预案》报环保主管部门备案，确保不发生环境污染事故。</w:t>
      </w:r>
    </w:p>
    <w:p w:rsidR="001D4610" w:rsidRDefault="002D52FA">
      <w:pPr>
        <w:adjustRightInd w:val="0"/>
        <w:snapToGrid w:val="0"/>
        <w:spacing w:line="560" w:lineRule="exact"/>
        <w:ind w:firstLine="630"/>
      </w:pPr>
      <w:r>
        <w:t>四、你单位须严格执行环保</w:t>
      </w:r>
      <w:r>
        <w:t>“</w:t>
      </w:r>
      <w:r>
        <w:t>三同时</w:t>
      </w:r>
      <w:r>
        <w:t>”</w:t>
      </w:r>
      <w:r>
        <w:t>制度，建设项目竣工后，建设单位应当按照国务院环境保护行政主管部门规定的标准和程序，对配套建设的环境保护设施进行验收，编制验收报告，验收报告编制完成后</w:t>
      </w:r>
      <w:r>
        <w:t>5</w:t>
      </w:r>
      <w:r>
        <w:t>个工作日内，在相关网站公开验收报告，公示期限不得少于</w:t>
      </w:r>
      <w:r>
        <w:t>20</w:t>
      </w:r>
      <w:r>
        <w:t>个工作日，并向我局报送相关信息；验收报告公示期满后</w:t>
      </w:r>
      <w:r>
        <w:t>5</w:t>
      </w:r>
      <w:r>
        <w:lastRenderedPageBreak/>
        <w:t>个工作日内，建设单位应当登录</w:t>
      </w:r>
      <w:r>
        <w:t>“</w:t>
      </w:r>
      <w:r>
        <w:t>全国建设项目竣工环境保护验收信息平台</w:t>
      </w:r>
      <w:r>
        <w:t>”</w:t>
      </w:r>
      <w:r>
        <w:t>（网址为</w:t>
      </w:r>
      <w:r>
        <w:t>http://47.94.79.251</w:t>
      </w:r>
      <w:r>
        <w:t>），填报建设项目基本信息、环境保护设施验收情况等相关信息。</w:t>
      </w:r>
    </w:p>
    <w:p w:rsidR="001D4610" w:rsidRDefault="002D52FA">
      <w:pPr>
        <w:adjustRightInd w:val="0"/>
        <w:snapToGrid w:val="0"/>
        <w:spacing w:line="560" w:lineRule="exact"/>
        <w:ind w:firstLine="630"/>
      </w:pPr>
      <w:r>
        <w:t>五、你单位须严格按照《排污许可证管理暂行规定》要求，在投入生产或使用并产生实际排污行为之前申请领取排污许可证或进行排污登记。</w:t>
      </w:r>
    </w:p>
    <w:p w:rsidR="001D4610" w:rsidRDefault="002D52FA">
      <w:pPr>
        <w:adjustRightInd w:val="0"/>
        <w:snapToGrid w:val="0"/>
        <w:spacing w:line="560" w:lineRule="exact"/>
        <w:ind w:firstLine="630"/>
      </w:pPr>
      <w:r>
        <w:t>六、根据《中华人民共和国环境影响评价法》等相关环保法律法规的规定，</w:t>
      </w:r>
      <w:proofErr w:type="gramStart"/>
      <w:r>
        <w:t>若项目</w:t>
      </w:r>
      <w:proofErr w:type="gramEnd"/>
      <w:r>
        <w:t>性质、规模、地点、采用的防治污染、防止生态破坏的措施等发生重大变化的，应依法重新报批环评文件。自批准之日起</w:t>
      </w:r>
      <w:r>
        <w:t>5</w:t>
      </w:r>
      <w:r>
        <w:t>年内未开工建设的，其环</w:t>
      </w:r>
      <w:proofErr w:type="gramStart"/>
      <w:r>
        <w:t>评文件</w:t>
      </w:r>
      <w:proofErr w:type="gramEnd"/>
      <w:r>
        <w:t>应当报我局重新审核。在项目建设、运行过程中产生不符合经审批的环</w:t>
      </w:r>
      <w:proofErr w:type="gramStart"/>
      <w:r>
        <w:t>评文件</w:t>
      </w:r>
      <w:proofErr w:type="gramEnd"/>
      <w:r>
        <w:t>情形的，应依法重新办理相关环保手续。</w:t>
      </w:r>
    </w:p>
    <w:p w:rsidR="001D4610" w:rsidRDefault="002D52FA" w:rsidP="00E57435">
      <w:pPr>
        <w:adjustRightInd w:val="0"/>
        <w:snapToGrid w:val="0"/>
        <w:spacing w:line="560" w:lineRule="exact"/>
        <w:ind w:firstLineChars="200" w:firstLine="609"/>
      </w:pPr>
      <w:r>
        <w:t>七、第一师六团按照《关于印发</w:t>
      </w:r>
      <w:r>
        <w:t>&lt;</w:t>
      </w:r>
      <w:r>
        <w:t>第一师阿拉尔市生态环境保护工作职责暂行规定（试行）</w:t>
      </w:r>
      <w:r>
        <w:t>&gt;</w:t>
      </w:r>
      <w:r>
        <w:t>的通知》（</w:t>
      </w:r>
      <w:proofErr w:type="gramStart"/>
      <w:r>
        <w:t>师市环</w:t>
      </w:r>
      <w:proofErr w:type="gramEnd"/>
      <w:r>
        <w:t>委办发〔</w:t>
      </w:r>
      <w:r>
        <w:t>2020</w:t>
      </w:r>
      <w:r>
        <w:t>〕</w:t>
      </w:r>
      <w:r>
        <w:t>1</w:t>
      </w:r>
      <w:r>
        <w:t>号）要求，做好该项目环境保护管理工作，</w:t>
      </w:r>
      <w:proofErr w:type="gramStart"/>
      <w:r>
        <w:t>师市生态环境</w:t>
      </w:r>
      <w:proofErr w:type="gramEnd"/>
      <w:r>
        <w:t>保护综合行政执法支队做好该项目的抽查日常监督管理工作。</w:t>
      </w:r>
    </w:p>
    <w:p w:rsidR="001D4610" w:rsidRDefault="001D4610">
      <w:pPr>
        <w:pStyle w:val="Default"/>
        <w:spacing w:line="560" w:lineRule="exact"/>
        <w:jc w:val="both"/>
        <w:rPr>
          <w:rFonts w:ascii="Times New Roman" w:eastAsia="仿宋_GB2312" w:hint="default"/>
          <w:sz w:val="32"/>
          <w:szCs w:val="32"/>
        </w:rPr>
      </w:pPr>
    </w:p>
    <w:p w:rsidR="001D4610" w:rsidRDefault="001D4610">
      <w:pPr>
        <w:pStyle w:val="Default"/>
        <w:spacing w:line="560" w:lineRule="exact"/>
        <w:jc w:val="both"/>
        <w:rPr>
          <w:rFonts w:ascii="Times New Roman" w:eastAsia="仿宋_GB2312" w:hint="default"/>
          <w:sz w:val="32"/>
          <w:szCs w:val="32"/>
        </w:rPr>
      </w:pPr>
    </w:p>
    <w:p w:rsidR="001D4610" w:rsidRDefault="002D52FA" w:rsidP="00E57435">
      <w:pPr>
        <w:adjustRightInd w:val="0"/>
        <w:snapToGrid w:val="0"/>
        <w:spacing w:line="560" w:lineRule="exact"/>
        <w:ind w:firstLineChars="1402" w:firstLine="4267"/>
        <w:rPr>
          <w:kern w:val="0"/>
        </w:rPr>
      </w:pPr>
      <w:r>
        <w:rPr>
          <w:kern w:val="0"/>
        </w:rPr>
        <w:t>第一师阿拉尔市生态环境局</w:t>
      </w:r>
    </w:p>
    <w:p w:rsidR="001D4610" w:rsidRDefault="002D52FA" w:rsidP="00E57435">
      <w:pPr>
        <w:adjustRightInd w:val="0"/>
        <w:snapToGrid w:val="0"/>
        <w:spacing w:line="560" w:lineRule="exact"/>
        <w:ind w:right="608" w:firstLineChars="1610" w:firstLine="4900"/>
        <w:rPr>
          <w:kern w:val="0"/>
        </w:rPr>
      </w:pPr>
      <w:r>
        <w:rPr>
          <w:kern w:val="0"/>
        </w:rPr>
        <w:t>2021</w:t>
      </w:r>
      <w:r>
        <w:rPr>
          <w:kern w:val="0"/>
        </w:rPr>
        <w:t>年</w:t>
      </w:r>
      <w:r>
        <w:rPr>
          <w:kern w:val="0"/>
        </w:rPr>
        <w:t>5</w:t>
      </w:r>
      <w:r>
        <w:rPr>
          <w:kern w:val="0"/>
        </w:rPr>
        <w:t>月</w:t>
      </w:r>
      <w:r>
        <w:rPr>
          <w:kern w:val="0"/>
        </w:rPr>
        <w:t>24</w:t>
      </w:r>
      <w:r>
        <w:rPr>
          <w:kern w:val="0"/>
        </w:rPr>
        <w:t>日</w:t>
      </w: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p>
    <w:p w:rsidR="001D4610" w:rsidRDefault="001D4610">
      <w:pPr>
        <w:widowControl/>
        <w:adjustRightInd w:val="0"/>
        <w:snapToGrid w:val="0"/>
        <w:spacing w:line="560" w:lineRule="exact"/>
        <w:ind w:right="608"/>
        <w:rPr>
          <w:rFonts w:ascii="仿宋_GB2312"/>
          <w:kern w:val="0"/>
        </w:rPr>
      </w:pPr>
      <w:bookmarkStart w:id="0" w:name="_GoBack"/>
      <w:bookmarkEnd w:id="0"/>
    </w:p>
    <w:p w:rsidR="001D4610" w:rsidRDefault="001D4610">
      <w:pPr>
        <w:widowControl/>
        <w:adjustRightInd w:val="0"/>
        <w:snapToGrid w:val="0"/>
        <w:spacing w:line="560" w:lineRule="exact"/>
        <w:ind w:right="608"/>
        <w:rPr>
          <w:rFonts w:ascii="仿宋_GB2312"/>
          <w:kern w:val="0"/>
        </w:rPr>
      </w:pPr>
    </w:p>
    <w:p w:rsidR="001D4610" w:rsidRDefault="002D52FA">
      <w:pPr>
        <w:widowControl/>
        <w:adjustRightInd w:val="0"/>
        <w:snapToGrid w:val="0"/>
        <w:spacing w:line="560" w:lineRule="exact"/>
        <w:ind w:right="608"/>
        <w:rPr>
          <w:rFonts w:ascii="仿宋_GB2312"/>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261620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20.6pt;height:0pt;width:423pt;z-index:251660288;mso-width-relative:page;mso-height-relative:page;" filled="f" stroked="t" coordsize="21600,21600" o:gfxdata="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Ch9bdMAAAAGAQAADwAAAAAAAAABACAAAAAiAAAAZHJzL2Rvd25yZXYueG1sUEsBAhQAFAAAAAgA&#10;h07iQLvexcDxAQAA5gMAAA4AAAAAAAAAAQAgAAAAIgEAAGRycy9lMm9Eb2MueG1sUEsFBgAAAAAG&#10;AAYAWQEAAIUFAAAAAA==&#10;">
                <v:fill on="f" focussize="0,0"/>
                <v:stroke color="#000000" joinstyle="round"/>
                <v:imagedata o:title=""/>
                <o:lock v:ext="edit" aspectratio="f"/>
              </v:line>
            </w:pict>
          </mc:Fallback>
        </mc:AlternateContent>
      </w:r>
    </w:p>
    <w:p w:rsidR="001D4610" w:rsidRDefault="002D52FA" w:rsidP="00E57435">
      <w:pPr>
        <w:topLinePunct/>
        <w:adjustRightInd w:val="0"/>
        <w:snapToGrid w:val="0"/>
        <w:spacing w:line="360" w:lineRule="auto"/>
        <w:ind w:leftChars="74" w:left="621" w:hangingChars="150" w:hanging="396"/>
        <w:rPr>
          <w:spacing w:val="-6"/>
          <w:w w:val="95"/>
          <w:sz w:val="28"/>
          <w:szCs w:val="28"/>
        </w:rPr>
      </w:pPr>
      <w:r>
        <w:rPr>
          <w:sz w:val="28"/>
          <w:szCs w:val="28"/>
        </w:rPr>
        <w:t>抄送：</w:t>
      </w:r>
      <w:proofErr w:type="gramStart"/>
      <w:r>
        <w:rPr>
          <w:rFonts w:hint="eastAsia"/>
          <w:spacing w:val="-6"/>
          <w:w w:val="95"/>
          <w:sz w:val="28"/>
          <w:szCs w:val="28"/>
        </w:rPr>
        <w:t>师市相关</w:t>
      </w:r>
      <w:proofErr w:type="gramEnd"/>
      <w:r>
        <w:rPr>
          <w:rFonts w:hint="eastAsia"/>
          <w:spacing w:val="-6"/>
          <w:w w:val="95"/>
          <w:sz w:val="28"/>
          <w:szCs w:val="28"/>
        </w:rPr>
        <w:t>领导，</w:t>
      </w:r>
      <w:proofErr w:type="gramStart"/>
      <w:r>
        <w:rPr>
          <w:rFonts w:hint="eastAsia"/>
          <w:spacing w:val="-6"/>
          <w:w w:val="95"/>
          <w:sz w:val="28"/>
          <w:szCs w:val="28"/>
        </w:rPr>
        <w:t>发改委</w:t>
      </w:r>
      <w:proofErr w:type="gramEnd"/>
      <w:r>
        <w:rPr>
          <w:rFonts w:hint="eastAsia"/>
          <w:spacing w:val="-6"/>
          <w:w w:val="95"/>
          <w:sz w:val="28"/>
          <w:szCs w:val="28"/>
        </w:rPr>
        <w:t>、农业农村局、自然资源和规划局、六团、生态</w:t>
      </w:r>
    </w:p>
    <w:p w:rsidR="001D4610" w:rsidRDefault="002D52FA">
      <w:pPr>
        <w:topLinePunct/>
        <w:adjustRightInd w:val="0"/>
        <w:snapToGrid w:val="0"/>
        <w:spacing w:line="360" w:lineRule="auto"/>
        <w:rPr>
          <w:spacing w:val="-6"/>
          <w:sz w:val="28"/>
          <w:szCs w:val="28"/>
        </w:rPr>
      </w:pPr>
      <w:r>
        <w:rPr>
          <w:rFonts w:hint="eastAsia"/>
          <w:spacing w:val="-6"/>
          <w:w w:val="95"/>
          <w:sz w:val="28"/>
          <w:szCs w:val="28"/>
        </w:rPr>
        <w:t>环境保护综合行政执法支队，阿克</w:t>
      </w:r>
      <w:r w:rsidR="00D7604A">
        <w:rPr>
          <w:rFonts w:hint="eastAsia"/>
          <w:spacing w:val="-6"/>
          <w:w w:val="95"/>
          <w:sz w:val="28"/>
          <w:szCs w:val="28"/>
        </w:rPr>
        <w:t>苏</w:t>
      </w:r>
      <w:r>
        <w:rPr>
          <w:rFonts w:hint="eastAsia"/>
          <w:spacing w:val="-6"/>
          <w:w w:val="95"/>
          <w:sz w:val="28"/>
          <w:szCs w:val="28"/>
        </w:rPr>
        <w:t>起点科技有限公司</w:t>
      </w:r>
      <w:r>
        <w:rPr>
          <w:spacing w:val="-6"/>
          <w:w w:val="95"/>
          <w:sz w:val="28"/>
          <w:szCs w:val="28"/>
        </w:rPr>
        <w:t>。</w:t>
      </w:r>
    </w:p>
    <w:p w:rsidR="001D4610" w:rsidRDefault="002D52FA" w:rsidP="001D4610">
      <w:pPr>
        <w:tabs>
          <w:tab w:val="left" w:pos="312"/>
        </w:tabs>
        <w:spacing w:line="560" w:lineRule="exact"/>
        <w:ind w:firstLineChars="50" w:firstLine="132"/>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22860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25pt;margin-top:1.8pt;height:0pt;width:423pt;z-index:251661312;mso-width-relative:page;mso-height-relative:page;" filled="f" stroked="t" coordsize="21600,21600" o:gfxdata="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EX70gAAAAUBAAAPAAAAAAAAAAEAIAAAACIAAABkcnMvZG93bnJldi54bWxQSwECFAAUAAAACACH&#10;TuJAHyh8SfEBAADmAwAADgAAAAAAAAABACAAAAAhAQAAZHJzL2Uyb0RvYy54bWxQSwUGAAAAAAYA&#10;BgBZAQAAh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424180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3.4pt;height:0pt;width:423pt;z-index:251662336;mso-width-relative:page;mso-height-relative:page;" filled="f" stroked="t"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eimDTAAAABgEAAA8AAAAAAAAAAQAgAAAAIgAAAGRycy9kb3ducmV2LnhtbFBLAQIUABQAAAAI&#10;AIdO4kDh5bND8gEAAOYDAAAOAAAAAAAAAAEAIAAAACIBAABkcnMvZTJvRG9jLnhtbFBLBQYAAAAA&#10;BgAGAFkBAACGBQAAAAA=&#10;">
                <v:fill on="f" focussize="0,0"/>
                <v:stroke color="#000000" joinstyle="round"/>
                <v:imagedata o:title=""/>
                <o:lock v:ext="edit" aspectratio="f"/>
              </v:line>
            </w:pict>
          </mc:Fallback>
        </mc:AlternateContent>
      </w:r>
      <w:r>
        <w:rPr>
          <w:sz w:val="28"/>
          <w:szCs w:val="28"/>
        </w:rPr>
        <w:t>第一师</w:t>
      </w:r>
      <w:r>
        <w:rPr>
          <w:rFonts w:hint="eastAsia"/>
          <w:sz w:val="28"/>
          <w:szCs w:val="28"/>
        </w:rPr>
        <w:t>阿拉尔市生态环境</w:t>
      </w:r>
      <w:r>
        <w:rPr>
          <w:sz w:val="28"/>
          <w:szCs w:val="28"/>
        </w:rPr>
        <w:t>局</w:t>
      </w:r>
      <w:r>
        <w:rPr>
          <w:sz w:val="28"/>
          <w:szCs w:val="28"/>
        </w:rPr>
        <w:t xml:space="preserve"> </w:t>
      </w:r>
      <w:r>
        <w:rPr>
          <w:rFonts w:hint="eastAsia"/>
          <w:sz w:val="28"/>
          <w:szCs w:val="28"/>
        </w:rPr>
        <w:t xml:space="preserve">                </w:t>
      </w:r>
      <w:r>
        <w:rPr>
          <w:sz w:val="28"/>
          <w:szCs w:val="28"/>
        </w:rPr>
        <w:t>20</w:t>
      </w:r>
      <w:r>
        <w:rPr>
          <w:rFonts w:hint="eastAsia"/>
          <w:sz w:val="28"/>
          <w:szCs w:val="28"/>
        </w:rPr>
        <w:t>21</w:t>
      </w:r>
      <w:r>
        <w:rPr>
          <w:sz w:val="28"/>
          <w:szCs w:val="28"/>
        </w:rPr>
        <w:t>年</w:t>
      </w:r>
      <w:r>
        <w:rPr>
          <w:rFonts w:hint="eastAsia"/>
          <w:sz w:val="28"/>
          <w:szCs w:val="28"/>
        </w:rPr>
        <w:t>5</w:t>
      </w:r>
      <w:r>
        <w:rPr>
          <w:sz w:val="28"/>
          <w:szCs w:val="28"/>
        </w:rPr>
        <w:t>月</w:t>
      </w:r>
      <w:r>
        <w:rPr>
          <w:rFonts w:hint="eastAsia"/>
          <w:sz w:val="28"/>
          <w:szCs w:val="28"/>
        </w:rPr>
        <w:t>24</w:t>
      </w:r>
      <w:r>
        <w:rPr>
          <w:sz w:val="28"/>
          <w:szCs w:val="28"/>
        </w:rPr>
        <w:t>日印发</w:t>
      </w:r>
    </w:p>
    <w:sectPr w:rsidR="001D4610">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15" w:rsidRDefault="001D2715">
      <w:r>
        <w:separator/>
      </w:r>
    </w:p>
  </w:endnote>
  <w:endnote w:type="continuationSeparator" w:id="0">
    <w:p w:rsidR="001D2715" w:rsidRDefault="001D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10" w:rsidRDefault="002D52FA">
    <w:pPr>
      <w:pStyle w:val="a5"/>
      <w:ind w:firstLineChars="100" w:firstLine="280"/>
      <w:rPr>
        <w:rFonts w:ascii="仿宋_GB2312"/>
        <w:sz w:val="28"/>
        <w:szCs w:val="28"/>
      </w:rPr>
    </w:pPr>
    <w:r>
      <w:rPr>
        <w:rFonts w:ascii="仿宋_GB2312" w:hint="eastAsia"/>
        <w:sz w:val="28"/>
        <w:szCs w:val="28"/>
      </w:rPr>
      <w:t xml:space="preserve">— </w:t>
    </w:r>
    <w:r>
      <w:rPr>
        <w:rFonts w:ascii="仿宋_GB2312" w:hint="eastAsia"/>
        <w:sz w:val="28"/>
        <w:szCs w:val="28"/>
      </w:rPr>
      <w:fldChar w:fldCharType="begin"/>
    </w:r>
    <w:r>
      <w:rPr>
        <w:rStyle w:val="a7"/>
        <w:rFonts w:ascii="仿宋_GB2312" w:hint="eastAsia"/>
        <w:sz w:val="28"/>
        <w:szCs w:val="28"/>
      </w:rPr>
      <w:instrText xml:space="preserve"> PAGE </w:instrText>
    </w:r>
    <w:r>
      <w:rPr>
        <w:rFonts w:ascii="仿宋_GB2312" w:hint="eastAsia"/>
        <w:sz w:val="28"/>
        <w:szCs w:val="28"/>
      </w:rPr>
      <w:fldChar w:fldCharType="separate"/>
    </w:r>
    <w:r>
      <w:rPr>
        <w:rStyle w:val="a7"/>
        <w:rFonts w:ascii="仿宋_GB2312"/>
        <w:sz w:val="28"/>
        <w:szCs w:val="28"/>
      </w:rPr>
      <w:t>4</w:t>
    </w:r>
    <w:r>
      <w:rPr>
        <w:rFonts w:ascii="仿宋_GB2312" w:hint="eastAsia"/>
        <w:sz w:val="28"/>
        <w:szCs w:val="28"/>
      </w:rPr>
      <w:fldChar w:fldCharType="end"/>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10" w:rsidRDefault="002D52FA">
    <w:pPr>
      <w:pStyle w:val="a5"/>
      <w:wordWrap w:val="0"/>
      <w:jc w:val="right"/>
      <w:rPr>
        <w:rFonts w:ascii="仿宋_GB2312"/>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735" cy="230505"/>
                      </a:xfrm>
                      <a:prstGeom prst="rect">
                        <a:avLst/>
                      </a:prstGeom>
                      <a:noFill/>
                      <a:ln>
                        <a:noFill/>
                      </a:ln>
                      <a:effectLst/>
                    </wps:spPr>
                    <wps:txbx>
                      <w:txbxContent>
                        <w:p w:rsidR="001D4610" w:rsidRDefault="002D52FA">
                          <w:pPr>
                            <w:pStyle w:val="a5"/>
                            <w:wordWrap w:val="0"/>
                            <w:jc w:val="right"/>
                          </w:pP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sidR="00D7604A">
                            <w:rPr>
                              <w:rFonts w:ascii="仿宋_GB2312"/>
                              <w:noProof/>
                              <w:kern w:val="0"/>
                              <w:sz w:val="28"/>
                              <w:szCs w:val="28"/>
                            </w:rPr>
                            <w:t>6</w:t>
                          </w:r>
                          <w:r>
                            <w:rPr>
                              <w:rFonts w:ascii="仿宋_GB2312" w:hint="eastAsia"/>
                              <w:kern w:val="0"/>
                              <w:sz w:val="28"/>
                              <w:szCs w:val="28"/>
                            </w:rPr>
                            <w:fldChar w:fldCharType="end"/>
                          </w:r>
                          <w:r>
                            <w:rPr>
                              <w:rFonts w:ascii="仿宋_GB2312" w:hint="eastAsia"/>
                              <w:kern w:val="0"/>
                              <w:sz w:val="28"/>
                              <w:szCs w:val="28"/>
                            </w:rPr>
                            <w:t xml:space="preserve"> —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11.85pt;margin-top:0;width:63.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" filled="f" stroked="f">
              <v:textbox style="mso-fit-shape-to-text:t" inset="0,0,0,0">
                <w:txbxContent>
                  <w:p w:rsidR="001D4610" w:rsidRDefault="002D52FA">
                    <w:pPr>
                      <w:pStyle w:val="a5"/>
                      <w:wordWrap w:val="0"/>
                      <w:jc w:val="right"/>
                    </w:pP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sidR="00D7604A">
                      <w:rPr>
                        <w:rFonts w:ascii="仿宋_GB2312"/>
                        <w:noProof/>
                        <w:kern w:val="0"/>
                        <w:sz w:val="28"/>
                        <w:szCs w:val="28"/>
                      </w:rPr>
                      <w:t>6</w:t>
                    </w:r>
                    <w:r>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15" w:rsidRDefault="001D2715">
      <w:r>
        <w:separator/>
      </w:r>
    </w:p>
  </w:footnote>
  <w:footnote w:type="continuationSeparator" w:id="0">
    <w:p w:rsidR="001D2715" w:rsidRDefault="001D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10" w:rsidRDefault="001D4610">
    <w:pPr>
      <w:pStyle w:val="a6"/>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10"/>
    <w:rsid w:val="001D2715"/>
    <w:rsid w:val="001D4610"/>
    <w:rsid w:val="002D52FA"/>
    <w:rsid w:val="00D7604A"/>
    <w:rsid w:val="00E57435"/>
    <w:rsid w:val="0A2D131B"/>
    <w:rsid w:val="45A82258"/>
    <w:rsid w:val="497435D1"/>
    <w:rsid w:val="66350050"/>
    <w:rsid w:val="690D7EC6"/>
    <w:rsid w:val="6FFA7029"/>
    <w:rsid w:val="74B35F26"/>
    <w:rsid w:val="78C8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rPr>
  </w:style>
  <w:style w:type="paragraph" w:styleId="a4">
    <w:name w:val="Normal Indent"/>
    <w:basedOn w:val="a"/>
    <w:qFormat/>
    <w:pPr>
      <w:spacing w:line="520" w:lineRule="exact"/>
      <w:ind w:firstLine="624"/>
    </w:pPr>
    <w:rPr>
      <w:rFonts w:eastAsia="宋体"/>
      <w:sz w:val="28"/>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thickThinSmallGap" w:sz="24" w:space="1" w:color="auto"/>
      </w:pBdr>
      <w:tabs>
        <w:tab w:val="center" w:pos="4153"/>
        <w:tab w:val="right" w:pos="8306"/>
      </w:tabs>
      <w:snapToGrid w:val="0"/>
      <w:jc w:val="center"/>
    </w:pPr>
    <w:rPr>
      <w:sz w:val="24"/>
      <w:szCs w:val="18"/>
    </w:rPr>
  </w:style>
  <w:style w:type="character" w:styleId="a7">
    <w:name w:val="page number"/>
    <w:basedOn w:val="a1"/>
    <w:qFormat/>
  </w:style>
  <w:style w:type="paragraph" w:customStyle="1" w:styleId="Default">
    <w:name w:val="Default"/>
    <w:basedOn w:val="a"/>
    <w:qFormat/>
    <w:pPr>
      <w:autoSpaceDE w:val="0"/>
      <w:autoSpaceDN w:val="0"/>
      <w:jc w:val="left"/>
    </w:pPr>
    <w:rPr>
      <w:rFonts w:ascii="宋体" w:eastAsia="宋体" w:hint="eastAsi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rPr>
  </w:style>
  <w:style w:type="paragraph" w:styleId="a4">
    <w:name w:val="Normal Indent"/>
    <w:basedOn w:val="a"/>
    <w:qFormat/>
    <w:pPr>
      <w:spacing w:line="520" w:lineRule="exact"/>
      <w:ind w:firstLine="624"/>
    </w:pPr>
    <w:rPr>
      <w:rFonts w:eastAsia="宋体"/>
      <w:sz w:val="28"/>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thickThinSmallGap" w:sz="24" w:space="1" w:color="auto"/>
      </w:pBdr>
      <w:tabs>
        <w:tab w:val="center" w:pos="4153"/>
        <w:tab w:val="right" w:pos="8306"/>
      </w:tabs>
      <w:snapToGrid w:val="0"/>
      <w:jc w:val="center"/>
    </w:pPr>
    <w:rPr>
      <w:sz w:val="24"/>
      <w:szCs w:val="18"/>
    </w:rPr>
  </w:style>
  <w:style w:type="character" w:styleId="a7">
    <w:name w:val="page number"/>
    <w:basedOn w:val="a1"/>
    <w:qFormat/>
  </w:style>
  <w:style w:type="paragraph" w:customStyle="1" w:styleId="Default">
    <w:name w:val="Default"/>
    <w:basedOn w:val="a"/>
    <w:qFormat/>
    <w:pPr>
      <w:autoSpaceDE w:val="0"/>
      <w:autoSpaceDN w:val="0"/>
      <w:jc w:val="left"/>
    </w:pPr>
    <w:rPr>
      <w:rFonts w:ascii="宋体" w:eastAsia="宋体" w:hint="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3</cp:revision>
  <cp:lastPrinted>2021-05-26T02:33:00Z</cp:lastPrinted>
  <dcterms:created xsi:type="dcterms:W3CDTF">2021-05-15T09:48:00Z</dcterms:created>
  <dcterms:modified xsi:type="dcterms:W3CDTF">2021-10-11T11:01:00Z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EB21825DE1D44F7FB29B76C1BD7D75A7</vt:lpwstr>
  </property>
</Properties>
</file>