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sz w:val="44"/>
          <w:szCs w:val="44"/>
        </w:rPr>
      </w:pPr>
    </w:p>
    <w:p>
      <w:pPr>
        <w:pStyle w:val="3"/>
        <w:rPr>
          <w:sz w:val="44"/>
          <w:szCs w:val="44"/>
        </w:rPr>
      </w:pPr>
    </w:p>
    <w:p>
      <w:pPr>
        <w:spacing w:line="560" w:lineRule="exact"/>
        <w:rPr>
          <w:sz w:val="44"/>
          <w:szCs w:val="44"/>
        </w:rPr>
      </w:pPr>
    </w:p>
    <w:p>
      <w:pPr>
        <w:pStyle w:val="2"/>
        <w:rPr>
          <w:sz w:val="44"/>
          <w:szCs w:val="44"/>
        </w:rPr>
      </w:pPr>
    </w:p>
    <w:p>
      <w:pPr>
        <w:pStyle w:val="2"/>
        <w:rPr>
          <w:sz w:val="44"/>
          <w:szCs w:val="44"/>
        </w:rPr>
      </w:pPr>
    </w:p>
    <w:p>
      <w:pPr>
        <w:spacing w:line="560" w:lineRule="exact"/>
        <w:rPr>
          <w:sz w:val="44"/>
          <w:szCs w:val="44"/>
        </w:rPr>
      </w:pPr>
    </w:p>
    <w:p>
      <w:pPr>
        <w:spacing w:line="560" w:lineRule="exact"/>
        <w:rPr>
          <w:sz w:val="44"/>
          <w:szCs w:val="44"/>
        </w:rPr>
      </w:pPr>
      <w:r>
        <w:rPr>
          <w:sz w:val="44"/>
          <w:szCs w:val="44"/>
        </w:rPr>
        <w:pict>
          <v:shape id="_x0000_s1026" o:spid="_x0000_s1026" o:spt="202" type="#_x0000_t202" style="position:absolute;left:0pt;margin-left:99pt;margin-top:17.8pt;height:39.5pt;width:232.2pt;z-index:251659264;mso-width-relative:page;mso-height-relative:page;" stroked="t" coordsize="21600,2160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rnt42AAAAAoBAAAPAAAAAAAAAAEAIAAAACIAAABkcnMvZG93bnJldi54bWxQSwECFAAUAAAA&#10;CACHTuJA6VA0eu4BAADoAwAADgAAAAAAAAABACAAAAAnAQAAZHJzL2Uyb0RvYy54bWxQSwUGAAAA&#10;AAYABgBZAQAAhwUAAAAA&#10;">
            <v:path/>
            <v:fill focussize="0,0"/>
            <v:stroke color="#FFFFFF" joinstyle="miter"/>
            <v:imagedata o:title=""/>
            <o:lock v:ext="edit"/>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w:t>
                  </w:r>
                  <w:r>
                    <w:rPr>
                      <w:rFonts w:hint="eastAsia"/>
                      <w:lang w:val="en-US" w:eastAsia="zh-CN"/>
                    </w:rPr>
                    <w:t>1</w:t>
                  </w:r>
                  <w:r>
                    <w:rPr>
                      <w:rFonts w:hint="eastAsia"/>
                    </w:rPr>
                    <w:t>〕</w:t>
                  </w:r>
                  <w:r>
                    <w:rPr>
                      <w:rFonts w:hint="eastAsia"/>
                      <w:lang w:val="en-US" w:eastAsia="zh-CN"/>
                    </w:rPr>
                    <w:t>29</w:t>
                  </w:r>
                  <w:r>
                    <w:rPr>
                      <w:rFonts w:hint="eastAsia"/>
                    </w:rPr>
                    <w:t>号</w:t>
                  </w:r>
                </w:p>
              </w:txbxContent>
            </v:textbox>
          </v:shape>
        </w:pict>
      </w:r>
    </w:p>
    <w:p>
      <w:pPr>
        <w:spacing w:line="560" w:lineRule="exact"/>
      </w:pPr>
    </w:p>
    <w:p>
      <w:pPr>
        <w:spacing w:line="560" w:lineRule="exact"/>
        <w:jc w:val="cente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关于第一师三团污水处理厂建设项目环境影响报告表的批复</w:t>
      </w:r>
    </w:p>
    <w:p>
      <w:pPr>
        <w:rPr>
          <w:rFonts w:ascii="方正小标宋简体" w:eastAsia="方正小标宋简体"/>
          <w:sz w:val="36"/>
          <w:szCs w:val="36"/>
        </w:rPr>
      </w:pPr>
    </w:p>
    <w:p>
      <w:pPr>
        <w:keepNext w:val="0"/>
        <w:keepLines w:val="0"/>
        <w:pageBreakBefore w:val="0"/>
        <w:kinsoku/>
        <w:wordWrap/>
        <w:overflowPunct/>
        <w:topLinePunct w:val="0"/>
        <w:bidi w:val="0"/>
        <w:adjustRightInd w:val="0"/>
        <w:snapToGrid w:val="0"/>
        <w:spacing w:line="5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阿拉尔市城市建设管理处：</w:t>
      </w:r>
    </w:p>
    <w:p>
      <w:pPr>
        <w:keepNext w:val="0"/>
        <w:keepLines w:val="0"/>
        <w:pageBreakBefore w:val="0"/>
        <w:kinsoku/>
        <w:wordWrap/>
        <w:overflowPunct/>
        <w:topLinePunct w:val="0"/>
        <w:bidi w:val="0"/>
        <w:adjustRightInd w:val="0"/>
        <w:snapToGrid w:val="0"/>
        <w:spacing w:line="560" w:lineRule="exact"/>
        <w:ind w:firstLine="61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你单位报送的《关于</w:t>
      </w:r>
      <w:r>
        <w:rPr>
          <w:rFonts w:hint="eastAsia" w:ascii="仿宋_GB2312" w:hAnsi="仿宋_GB2312" w:eastAsia="仿宋_GB2312" w:cs="仿宋_GB2312"/>
          <w:lang w:eastAsia="zh-CN"/>
        </w:rPr>
        <w:t>送审</w:t>
      </w:r>
      <w:r>
        <w:rPr>
          <w:rFonts w:hint="eastAsia" w:ascii="仿宋_GB2312" w:hAnsi="仿宋_GB2312" w:eastAsia="仿宋_GB2312" w:cs="仿宋_GB2312"/>
        </w:rPr>
        <w:t>第一师三团污水处理厂建设项目环评审批的请示》及《第一师三团污水处理厂建设项目环境影响报告表》（以下简称“报告表”）收悉。经专家审查和研究，现批复如下：</w:t>
      </w:r>
    </w:p>
    <w:p>
      <w:pPr>
        <w:keepNext w:val="0"/>
        <w:keepLines w:val="0"/>
        <w:pageBreakBefore w:val="0"/>
        <w:numPr>
          <w:ilvl w:val="0"/>
          <w:numId w:val="0"/>
        </w:numPr>
        <w:kinsoku/>
        <w:wordWrap/>
        <w:overflowPunct/>
        <w:topLinePunct w:val="0"/>
        <w:bidi w:val="0"/>
        <w:adjustRightInd w:val="0"/>
        <w:snapToGrid w:val="0"/>
        <w:spacing w:line="560" w:lineRule="exact"/>
        <w:ind w:leftChars="0" w:firstLine="61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一、该项目</w:t>
      </w:r>
      <w:r>
        <w:rPr>
          <w:rFonts w:hint="eastAsia" w:ascii="仿宋_GB2312" w:hAnsi="仿宋_GB2312" w:eastAsia="仿宋_GB2312" w:cs="仿宋_GB2312"/>
          <w:kern w:val="0"/>
        </w:rPr>
        <w:t>位于</w:t>
      </w:r>
      <w:r>
        <w:rPr>
          <w:rFonts w:hint="eastAsia" w:ascii="仿宋_GB2312" w:hAnsi="仿宋_GB2312" w:eastAsia="仿宋_GB2312" w:cs="仿宋_GB2312"/>
        </w:rPr>
        <w:t>三团团部以东约650m处，原氧化塘原址，中心地理坐标为：东经80°4´19.26"，北纬40°22´10.62"。</w:t>
      </w:r>
      <w:r>
        <w:rPr>
          <w:rFonts w:hint="eastAsia" w:ascii="仿宋_GB2312" w:hAnsi="仿宋_GB2312" w:eastAsia="仿宋_GB2312" w:cs="仿宋_GB2312"/>
          <w:lang w:eastAsia="zh-CN"/>
        </w:rPr>
        <w:t>该项目</w:t>
      </w:r>
      <w:r>
        <w:rPr>
          <w:rFonts w:hint="eastAsia" w:ascii="仿宋_GB2312" w:hAnsi="仿宋_GB2312" w:eastAsia="仿宋_GB2312" w:cs="仿宋_GB2312"/>
        </w:rPr>
        <w:t>总占地面积4959.39m</w:t>
      </w:r>
      <w:r>
        <w:rPr>
          <w:rFonts w:hint="eastAsia" w:ascii="仿宋_GB2312" w:hAnsi="仿宋_GB2312" w:eastAsia="仿宋_GB2312" w:cs="仿宋_GB2312"/>
          <w:vertAlign w:val="superscript"/>
        </w:rPr>
        <w:t>2</w:t>
      </w:r>
      <w:r>
        <w:rPr>
          <w:rFonts w:hint="eastAsia" w:ascii="仿宋_GB2312" w:hAnsi="仿宋_GB2312" w:eastAsia="仿宋_GB2312" w:cs="仿宋_GB2312"/>
          <w:lang w:eastAsia="zh-CN"/>
        </w:rPr>
        <w:t>，</w:t>
      </w:r>
      <w:r>
        <w:rPr>
          <w:rFonts w:hint="eastAsia" w:ascii="仿宋_GB2312" w:hAnsi="仿宋_GB2312" w:eastAsia="仿宋_GB2312" w:cs="仿宋_GB2312"/>
          <w:vertAlign w:val="superscript"/>
          <w:lang w:val="en-US" w:eastAsia="zh-CN"/>
        </w:rPr>
        <w:t xml:space="preserve"> </w:t>
      </w:r>
      <w:r>
        <w:rPr>
          <w:rFonts w:hint="eastAsia" w:ascii="仿宋_GB2312" w:hAnsi="仿宋_GB2312" w:eastAsia="仿宋_GB2312" w:cs="仿宋_GB2312"/>
          <w:lang w:eastAsia="zh-CN"/>
        </w:rPr>
        <w:t>主要建设内容：建设</w:t>
      </w:r>
      <w:r>
        <w:rPr>
          <w:rFonts w:hint="eastAsia" w:ascii="仿宋_GB2312" w:hAnsi="仿宋_GB2312" w:eastAsia="仿宋_GB2312" w:cs="仿宋_GB2312"/>
        </w:rPr>
        <w:t>处理能力3000m</w:t>
      </w:r>
      <w:r>
        <w:rPr>
          <w:rFonts w:hint="eastAsia" w:ascii="仿宋_GB2312" w:hAnsi="仿宋_GB2312" w:eastAsia="仿宋_GB2312" w:cs="仿宋_GB2312"/>
          <w:vertAlign w:val="superscript"/>
        </w:rPr>
        <w:t>3</w:t>
      </w:r>
      <w:r>
        <w:rPr>
          <w:rFonts w:hint="eastAsia" w:ascii="仿宋_GB2312" w:hAnsi="仿宋_GB2312" w:eastAsia="仿宋_GB2312" w:cs="仿宋_GB2312"/>
        </w:rPr>
        <w:t>/d污水处理厂</w:t>
      </w:r>
      <w:r>
        <w:rPr>
          <w:rFonts w:hint="eastAsia" w:ascii="仿宋_GB2312" w:hAnsi="仿宋_GB2312" w:eastAsia="仿宋_GB2312" w:cs="仿宋_GB2312"/>
          <w:lang w:eastAsia="zh-CN"/>
        </w:rPr>
        <w:t>一座、</w:t>
      </w:r>
      <w:r>
        <w:rPr>
          <w:rFonts w:hint="eastAsia" w:ascii="仿宋_GB2312" w:hAnsi="仿宋_GB2312" w:eastAsia="仿宋_GB2312" w:cs="仿宋_GB2312"/>
        </w:rPr>
        <w:t>配套用房、道路及其他配套设施。该项目</w:t>
      </w:r>
      <w:r>
        <w:rPr>
          <w:rFonts w:hint="eastAsia" w:ascii="仿宋_GB2312" w:hAnsi="仿宋_GB2312" w:eastAsia="仿宋_GB2312" w:cs="仿宋_GB2312"/>
          <w:kern w:val="24"/>
          <w:lang w:val="en-GB"/>
        </w:rPr>
        <w:t>总投资</w:t>
      </w:r>
      <w:r>
        <w:rPr>
          <w:rFonts w:hint="eastAsia" w:ascii="仿宋_GB2312" w:hAnsi="仿宋_GB2312" w:eastAsia="仿宋_GB2312" w:cs="仿宋_GB2312"/>
        </w:rPr>
        <w:t>3000万元，其中环保投资</w:t>
      </w:r>
      <w:r>
        <w:rPr>
          <w:rFonts w:hint="eastAsia" w:ascii="仿宋_GB2312" w:hAnsi="仿宋_GB2312" w:eastAsia="仿宋_GB2312" w:cs="仿宋_GB2312"/>
          <w:lang w:val="en-US" w:eastAsia="zh-CN"/>
        </w:rPr>
        <w:t>353.5</w:t>
      </w:r>
      <w:r>
        <w:rPr>
          <w:rFonts w:hint="eastAsia" w:ascii="仿宋_GB2312" w:hAnsi="仿宋_GB2312" w:eastAsia="仿宋_GB2312" w:cs="仿宋_GB2312"/>
        </w:rPr>
        <w:t>万元，占总投资的</w:t>
      </w:r>
      <w:r>
        <w:rPr>
          <w:rFonts w:hint="eastAsia" w:ascii="仿宋_GB2312" w:hAnsi="仿宋_GB2312" w:eastAsia="仿宋_GB2312" w:cs="仿宋_GB2312"/>
          <w:lang w:val="en-US" w:eastAsia="zh-CN"/>
        </w:rPr>
        <w:t>11.78</w:t>
      </w:r>
      <w:r>
        <w:rPr>
          <w:rFonts w:hint="eastAsia" w:ascii="仿宋_GB2312" w:hAnsi="仿宋_GB2312" w:eastAsia="仿宋_GB2312" w:cs="仿宋_GB2312"/>
        </w:rPr>
        <w:t>%。</w:t>
      </w:r>
    </w:p>
    <w:p>
      <w:pPr>
        <w:keepNext w:val="0"/>
        <w:keepLines w:val="0"/>
        <w:pageBreakBefore w:val="0"/>
        <w:kinsoku/>
        <w:wordWrap/>
        <w:overflowPunct/>
        <w:topLinePunct w:val="0"/>
        <w:bidi w:val="0"/>
        <w:adjustRightInd w:val="0"/>
        <w:snapToGrid w:val="0"/>
        <w:spacing w:line="560" w:lineRule="exact"/>
        <w:ind w:firstLine="630"/>
        <w:jc w:val="both"/>
        <w:textAlignment w:val="auto"/>
        <w:rPr>
          <w:rFonts w:hint="eastAsia" w:ascii="仿宋_GB2312" w:hAnsi="仿宋_GB2312" w:eastAsia="仿宋_GB2312" w:cs="仿宋_GB2312"/>
        </w:rPr>
      </w:pPr>
      <w:r>
        <w:rPr>
          <w:rFonts w:hint="eastAsia" w:ascii="仿宋_GB2312" w:hAnsi="仿宋_GB2312" w:eastAsia="仿宋_GB2312" w:cs="仿宋_GB2312"/>
        </w:rPr>
        <w:t>二、该项目属于污水处理及其再生利用项目</w:t>
      </w:r>
      <w:r>
        <w:rPr>
          <w:rFonts w:hint="eastAsia" w:ascii="仿宋_GB2312" w:hAnsi="仿宋_GB2312" w:eastAsia="仿宋_GB2312" w:cs="仿宋_GB2312"/>
          <w:lang w:eastAsia="zh-CN"/>
        </w:rPr>
        <w:t>（日处理10万吨以下500吨及以上城乡污水处理的）</w:t>
      </w:r>
      <w:r>
        <w:rPr>
          <w:rFonts w:hint="eastAsia" w:ascii="仿宋_GB2312" w:hAnsi="仿宋_GB2312" w:eastAsia="仿宋_GB2312" w:cs="仿宋_GB2312"/>
        </w:rPr>
        <w:t>，我局原则同意报告表的结论。项目经投资主管部门依法审批后，你单位须严格按照报告表所列建设项目的性质、规模、地点、环保对策措施实施项目建设。</w:t>
      </w:r>
    </w:p>
    <w:p>
      <w:pPr>
        <w:keepNext w:val="0"/>
        <w:keepLines w:val="0"/>
        <w:pageBreakBefore w:val="0"/>
        <w:kinsoku/>
        <w:wordWrap/>
        <w:overflowPunct/>
        <w:topLinePunct w:val="0"/>
        <w:bidi w:val="0"/>
        <w:adjustRightInd w:val="0"/>
        <w:snapToGrid w:val="0"/>
        <w:spacing w:line="560" w:lineRule="exact"/>
        <w:ind w:firstLine="630"/>
        <w:jc w:val="both"/>
        <w:textAlignment w:val="auto"/>
        <w:rPr>
          <w:rFonts w:hint="eastAsia" w:ascii="仿宋_GB2312" w:hAnsi="仿宋_GB2312" w:eastAsia="仿宋_GB2312" w:cs="仿宋_GB2312"/>
        </w:rPr>
      </w:pPr>
      <w:r>
        <w:rPr>
          <w:rFonts w:hint="eastAsia" w:ascii="仿宋_GB2312" w:hAnsi="仿宋_GB2312" w:eastAsia="仿宋_GB2312" w:cs="仿宋_GB2312"/>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pPr>
        <w:keepNext w:val="0"/>
        <w:keepLines w:val="0"/>
        <w:pageBreakBefore w:val="0"/>
        <w:kinsoku/>
        <w:wordWrap/>
        <w:overflowPunct/>
        <w:topLinePunct w:val="0"/>
        <w:bidi w:val="0"/>
        <w:adjustRightInd w:val="0"/>
        <w:snapToGrid w:val="0"/>
        <w:spacing w:line="560" w:lineRule="exact"/>
        <w:ind w:firstLine="61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认真落实施工期环境保护措施。通过合理选择装卸、堆放地点，优化运输路线，设置围墙或防护板，对料场采取喷淋方式等有效措施控制施工过程产生的废气，确保废气排放满足《大气污染物综合排放标准》(GB16297-1996)相应限值要求。合理安排施工作业时间，合理选择施工车辆进出路线，严格遵守《建筑施工场界环境噪声排放标准》(GB12523-2011)中规定要求。施工废水经过隔油沉淀池处理后用于施工区洒水降尘。弃土以及建筑垃圾全部运至三团垃圾堆放场，不得占用周边土地，破坏周边植被。认真落实生态保护措施，施工结束后及时进行生态修复。</w:t>
      </w:r>
    </w:p>
    <w:p>
      <w:pPr>
        <w:keepNext w:val="0"/>
        <w:keepLines w:val="0"/>
        <w:pageBreakBefore w:val="0"/>
        <w:kinsoku/>
        <w:wordWrap/>
        <w:overflowPunct/>
        <w:topLinePunct w:val="0"/>
        <w:bidi w:val="0"/>
        <w:spacing w:line="560" w:lineRule="exact"/>
        <w:ind w:firstLine="61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（二）严格落实水污染防治措施。该</w:t>
      </w:r>
      <w:r>
        <w:rPr>
          <w:rFonts w:hint="eastAsia" w:ascii="仿宋_GB2312" w:hAnsi="仿宋_GB2312" w:eastAsia="仿宋_GB2312" w:cs="仿宋_GB2312"/>
          <w:kern w:val="0"/>
        </w:rPr>
        <w:t>污水处理厂</w:t>
      </w:r>
      <w:r>
        <w:rPr>
          <w:rFonts w:hint="eastAsia" w:ascii="仿宋_GB2312" w:hAnsi="仿宋_GB2312" w:eastAsia="仿宋_GB2312" w:cs="仿宋_GB2312"/>
          <w:kern w:val="0"/>
          <w:lang w:eastAsia="zh-CN"/>
        </w:rPr>
        <w:t>主要</w:t>
      </w:r>
      <w:r>
        <w:rPr>
          <w:rFonts w:hint="eastAsia" w:ascii="仿宋_GB2312" w:hAnsi="仿宋_GB2312" w:eastAsia="仿宋_GB2312" w:cs="仿宋_GB2312"/>
          <w:kern w:val="0"/>
        </w:rPr>
        <w:t>用于处理镇区生活污水，</w:t>
      </w:r>
      <w:r>
        <w:rPr>
          <w:rFonts w:hint="eastAsia" w:ascii="仿宋_GB2312" w:hAnsi="仿宋_GB2312" w:eastAsia="仿宋_GB2312" w:cs="仿宋_GB2312"/>
          <w:kern w:val="0"/>
          <w:lang w:eastAsia="zh-CN"/>
        </w:rPr>
        <w:t>原则</w:t>
      </w:r>
      <w:r>
        <w:rPr>
          <w:rFonts w:hint="eastAsia" w:ascii="仿宋_GB2312" w:hAnsi="仿宋_GB2312" w:eastAsia="仿宋_GB2312" w:cs="仿宋_GB2312"/>
          <w:kern w:val="0"/>
        </w:rPr>
        <w:t>禁止排入工业废水。</w:t>
      </w:r>
      <w:r>
        <w:rPr>
          <w:rFonts w:hint="eastAsia" w:ascii="仿宋_GB2312" w:hAnsi="仿宋_GB2312" w:eastAsia="仿宋_GB2312" w:cs="仿宋_GB2312"/>
          <w:bCs/>
        </w:rPr>
        <w:t>该污水处理厂采用</w:t>
      </w:r>
      <w:r>
        <w:rPr>
          <w:rFonts w:hint="eastAsia" w:ascii="仿宋_GB2312" w:hAnsi="仿宋_GB2312" w:eastAsia="仿宋_GB2312" w:cs="仿宋_GB2312"/>
        </w:rPr>
        <w:t>“改良型AO微氧循环流生物处理工艺+混凝沉淀-气浮深度处理工艺”的污水处理工艺，污水经过处理达到《城镇污水处理厂污染物排放标准》（GB18918-2002）一级A标准</w:t>
      </w:r>
      <w:r>
        <w:rPr>
          <w:rFonts w:hint="eastAsia" w:ascii="仿宋_GB2312" w:hAnsi="仿宋_GB2312" w:cs="仿宋_GB2312"/>
          <w:lang w:val="en-US" w:eastAsia="zh-CN"/>
        </w:rPr>
        <w:t>,同时需满足《城市污水再生利用 绿 地灌溉水质》（GB/T25499-2010）中的“表 1 基本控制项目及限值”后</w:t>
      </w:r>
      <w:r>
        <w:rPr>
          <w:rFonts w:hint="eastAsia" w:ascii="仿宋_GB2312" w:hAnsi="仿宋_GB2312" w:eastAsia="仿宋_GB2312" w:cs="仿宋_GB2312"/>
        </w:rPr>
        <w:t>，夏季用于绿化厂区、灌溉三团下游防护林及厂区、团部绿化；冬季排入由原氧化塘的一部分改造的储水池内进行冬储夏灌。严禁将污水排入地表水体、禁止用于农作物灌溉进入食物链。按要求对各类污水处理装置做进一步防渗处理，并控制污水排放标准，降低污废浓度，尽最大努力将污染物控制在源头，防止出现泄漏或渗漏事故。对废水排放的管道、污水进行防漏防渗处理，防止污染物的跑、冒、滴、漏，将污染物泄露的环境风险事故将到最低限度，建立防渗设施的检漏系统。</w:t>
      </w:r>
    </w:p>
    <w:p>
      <w:pPr>
        <w:keepNext w:val="0"/>
        <w:keepLines w:val="0"/>
        <w:pageBreakBefore w:val="0"/>
        <w:kinsoku/>
        <w:wordWrap/>
        <w:overflowPunct/>
        <w:topLinePunct w:val="0"/>
        <w:autoSpaceDE w:val="0"/>
        <w:autoSpaceDN w:val="0"/>
        <w:bidi w:val="0"/>
        <w:adjustRightInd w:val="0"/>
        <w:snapToGrid w:val="0"/>
        <w:spacing w:line="560" w:lineRule="exact"/>
        <w:ind w:firstLine="61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CN"/>
        </w:rPr>
        <w:t>三</w:t>
      </w:r>
      <w:r>
        <w:rPr>
          <w:rFonts w:hint="eastAsia" w:ascii="仿宋_GB2312" w:hAnsi="仿宋_GB2312" w:eastAsia="仿宋_GB2312" w:cs="仿宋_GB2312"/>
        </w:rPr>
        <w:t>）加强废气治理措施。该项目废气主要为NH</w:t>
      </w:r>
      <w:r>
        <w:rPr>
          <w:rFonts w:hint="eastAsia" w:ascii="仿宋_GB2312" w:hAnsi="仿宋_GB2312" w:eastAsia="仿宋_GB2312" w:cs="仿宋_GB2312"/>
          <w:vertAlign w:val="subscript"/>
        </w:rPr>
        <w:t>3</w:t>
      </w:r>
      <w:r>
        <w:rPr>
          <w:rFonts w:hint="eastAsia" w:ascii="仿宋_GB2312" w:hAnsi="仿宋_GB2312" w:eastAsia="仿宋_GB2312" w:cs="仿宋_GB2312"/>
        </w:rPr>
        <w:t>、H</w:t>
      </w:r>
      <w:r>
        <w:rPr>
          <w:rFonts w:hint="eastAsia" w:ascii="仿宋_GB2312" w:hAnsi="仿宋_GB2312" w:eastAsia="仿宋_GB2312" w:cs="仿宋_GB2312"/>
          <w:vertAlign w:val="subscript"/>
        </w:rPr>
        <w:t>2</w:t>
      </w:r>
      <w:r>
        <w:rPr>
          <w:rFonts w:hint="eastAsia" w:ascii="仿宋_GB2312" w:hAnsi="仿宋_GB2312" w:eastAsia="仿宋_GB2312" w:cs="仿宋_GB2312"/>
        </w:rPr>
        <w:t>S等恶臭物质。</w:t>
      </w:r>
      <w:r>
        <w:rPr>
          <w:rFonts w:hint="eastAsia" w:ascii="仿宋_GB2312" w:hAnsi="仿宋_GB2312" w:eastAsia="仿宋_GB2312" w:cs="仿宋_GB2312"/>
          <w:snapToGrid w:val="0"/>
          <w:color w:val="auto"/>
          <w:kern w:val="2"/>
          <w:sz w:val="32"/>
          <w:szCs w:val="32"/>
          <w:lang w:val="en-US" w:eastAsia="zh-CN" w:bidi="ar-SA"/>
        </w:rPr>
        <w:t>通过将格栅及沉砂等产生臭气的工艺环节采用封闭控制，吸气式负压集中收集，经活性炭吸附处理工艺除臭，有组织废气排放满足《恶臭污染物排放标准》（GB14554-93）表2标准后，经15m排气筒排放。通过池体加盖，加强厂区绿化，建设预处理车间，</w:t>
      </w:r>
      <w:r>
        <w:rPr>
          <w:rFonts w:hint="eastAsia" w:ascii="仿宋_GB2312" w:hAnsi="仿宋_GB2312" w:eastAsia="仿宋_GB2312" w:cs="仿宋_GB2312"/>
        </w:rPr>
        <w:t>加强污水处理厂的卫生管理，定期对排水管网、建筑物及其配套设备进行检修和维护，及时对污泥和栅渣进行消毒并清运，采用密闭的运输车辆进行运输</w:t>
      </w:r>
      <w:r>
        <w:rPr>
          <w:rFonts w:hint="eastAsia" w:ascii="仿宋_GB2312" w:hAnsi="仿宋_GB2312" w:eastAsia="仿宋_GB2312" w:cs="仿宋_GB2312"/>
          <w:lang w:eastAsia="zh-CN"/>
        </w:rPr>
        <w:t>、</w:t>
      </w:r>
      <w:r>
        <w:rPr>
          <w:rFonts w:hint="eastAsia" w:ascii="仿宋_GB2312" w:hAnsi="仿宋_GB2312" w:eastAsia="仿宋_GB2312" w:cs="仿宋_GB2312"/>
        </w:rPr>
        <w:t>抑制恶臭的传播等措施，确保厂界恶臭排放执行《城镇污水处理厂污染物排放标准》（GB18918-2002）及修改单表4二级标准（NH3≤1.5mg/m</w:t>
      </w:r>
      <w:r>
        <w:rPr>
          <w:rFonts w:hint="eastAsia" w:ascii="仿宋_GB2312" w:hAnsi="仿宋_GB2312" w:eastAsia="仿宋_GB2312" w:cs="仿宋_GB2312"/>
          <w:vertAlign w:val="superscript"/>
        </w:rPr>
        <w:t>3</w:t>
      </w:r>
      <w:r>
        <w:rPr>
          <w:rFonts w:hint="eastAsia" w:ascii="仿宋_GB2312" w:hAnsi="仿宋_GB2312" w:eastAsia="仿宋_GB2312" w:cs="仿宋_GB2312"/>
        </w:rPr>
        <w:t>，H2S≤0.06 mg/m</w:t>
      </w:r>
      <w:r>
        <w:rPr>
          <w:rFonts w:hint="eastAsia" w:ascii="仿宋_GB2312" w:hAnsi="仿宋_GB2312" w:eastAsia="仿宋_GB2312" w:cs="仿宋_GB2312"/>
          <w:vertAlign w:val="superscript"/>
        </w:rPr>
        <w:t>3</w:t>
      </w:r>
      <w:r>
        <w:rPr>
          <w:rFonts w:hint="eastAsia" w:ascii="仿宋_GB2312" w:hAnsi="仿宋_GB2312" w:eastAsia="仿宋_GB2312" w:cs="仿宋_GB2312"/>
        </w:rPr>
        <w:t>）。本项目卫生环境防护距离为300m，在此范围内禁止新建医院、学校、居民点等环境敏感设施。</w:t>
      </w:r>
    </w:p>
    <w:p>
      <w:pPr>
        <w:keepNext w:val="0"/>
        <w:keepLines w:val="0"/>
        <w:pageBreakBefore w:val="0"/>
        <w:kinsoku/>
        <w:wordWrap/>
        <w:overflowPunct/>
        <w:topLinePunct w:val="0"/>
        <w:bidi w:val="0"/>
        <w:adjustRightInd w:val="0"/>
        <w:snapToGrid w:val="0"/>
        <w:spacing w:line="560" w:lineRule="exact"/>
        <w:ind w:firstLine="61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napToGrid w:val="0"/>
        </w:rPr>
        <w:t>（</w:t>
      </w:r>
      <w:r>
        <w:rPr>
          <w:rFonts w:hint="eastAsia" w:ascii="仿宋_GB2312" w:hAnsi="仿宋_GB2312" w:eastAsia="仿宋_GB2312" w:cs="仿宋_GB2312"/>
          <w:snapToGrid w:val="0"/>
          <w:lang w:eastAsia="zh-CN"/>
        </w:rPr>
        <w:t>四</w:t>
      </w:r>
      <w:r>
        <w:rPr>
          <w:rFonts w:hint="eastAsia" w:ascii="仿宋_GB2312" w:hAnsi="仿宋_GB2312" w:eastAsia="仿宋_GB2312" w:cs="仿宋_GB2312"/>
          <w:snapToGrid w:val="0"/>
        </w:rPr>
        <w:t>）严格落实噪音污染防治措施。</w:t>
      </w:r>
      <w:r>
        <w:rPr>
          <w:rFonts w:hint="eastAsia" w:ascii="仿宋_GB2312" w:hAnsi="仿宋_GB2312" w:eastAsia="仿宋_GB2312" w:cs="仿宋_GB2312"/>
        </w:rPr>
        <w:t>本项目运营期主要噪声源为各类泵、曝气设备、污泥脱水设备等等。通过对设备采取消声、减振及室内合理布置，加强设备维护等措施，使厂界噪声强度达到《工业企业厂界环境噪声排放标准》（GB12348-2008）中2类标准（昼间≤60dB（A），夜间≤50dB（A））。</w:t>
      </w:r>
    </w:p>
    <w:p>
      <w:pPr>
        <w:keepNext w:val="0"/>
        <w:keepLines w:val="0"/>
        <w:pageBreakBefore w:val="0"/>
        <w:kinsoku/>
        <w:wordWrap/>
        <w:overflowPunct/>
        <w:topLinePunct w:val="0"/>
        <w:bidi w:val="0"/>
        <w:adjustRightInd w:val="0"/>
        <w:snapToGrid w:val="0"/>
        <w:spacing w:line="560" w:lineRule="exact"/>
        <w:ind w:firstLine="610" w:firstLineChars="200"/>
        <w:jc w:val="both"/>
        <w:textAlignment w:val="auto"/>
        <w:rPr>
          <w:rFonts w:hint="eastAsia" w:ascii="仿宋_GB2312" w:hAnsi="仿宋_GB2312" w:eastAsia="仿宋_GB2312" w:cs="仿宋_GB2312"/>
          <w:b/>
        </w:rPr>
      </w:pPr>
      <w:r>
        <w:rPr>
          <w:rFonts w:hint="eastAsia" w:ascii="仿宋_GB2312" w:hAnsi="仿宋_GB2312" w:eastAsia="仿宋_GB2312" w:cs="仿宋_GB2312"/>
        </w:rPr>
        <w:t>（</w:t>
      </w:r>
      <w:r>
        <w:rPr>
          <w:rFonts w:hint="eastAsia" w:ascii="仿宋_GB2312" w:hAnsi="仿宋_GB2312" w:eastAsia="仿宋_GB2312" w:cs="仿宋_GB2312"/>
          <w:lang w:eastAsia="zh-CN"/>
        </w:rPr>
        <w:t>五</w:t>
      </w:r>
      <w:r>
        <w:rPr>
          <w:rFonts w:hint="eastAsia" w:ascii="仿宋_GB2312" w:hAnsi="仿宋_GB2312" w:eastAsia="仿宋_GB2312" w:cs="仿宋_GB2312"/>
        </w:rPr>
        <w:t>）严格落实固体废物分类处置和分类利用措施。本项目生产过程中产生的固体废物主要是格栅渣、沉砂、污泥、废活性炭和生活垃圾。污泥脱水后与格栅渣、沉砂、生活垃圾一起拉运至三团垃圾填埋场进行处置，废活性炭交由厂家回收。</w:t>
      </w:r>
    </w:p>
    <w:p>
      <w:pPr>
        <w:keepNext w:val="0"/>
        <w:keepLines w:val="0"/>
        <w:pageBreakBefore w:val="0"/>
        <w:kinsoku/>
        <w:wordWrap/>
        <w:overflowPunct/>
        <w:topLinePunct w:val="0"/>
        <w:bidi w:val="0"/>
        <w:adjustRightInd w:val="0"/>
        <w:snapToGrid w:val="0"/>
        <w:spacing w:line="560" w:lineRule="exact"/>
        <w:ind w:firstLine="61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CN"/>
        </w:rPr>
        <w:t>六</w:t>
      </w:r>
      <w:r>
        <w:rPr>
          <w:rFonts w:hint="eastAsia" w:ascii="仿宋_GB2312" w:hAnsi="仿宋_GB2312" w:eastAsia="仿宋_GB2312" w:cs="仿宋_GB2312"/>
        </w:rPr>
        <w:t>）建立健全运行期环保管理制度</w:t>
      </w:r>
      <w:r>
        <w:rPr>
          <w:rFonts w:hint="eastAsia" w:ascii="仿宋_GB2312" w:hAnsi="仿宋_GB2312" w:eastAsia="仿宋_GB2312" w:cs="仿宋_GB2312"/>
          <w:lang w:eastAsia="zh-CN"/>
        </w:rPr>
        <w:t>。</w:t>
      </w:r>
      <w:r>
        <w:rPr>
          <w:rFonts w:hint="eastAsia" w:ascii="仿宋_GB2312" w:hAnsi="仿宋_GB2312" w:eastAsia="仿宋_GB2312" w:cs="仿宋_GB2312"/>
        </w:rPr>
        <w:t>编制《突发环境事件应急预案》报环保主管部门备案，完善环境风险事故应急预案和事故防范措施，建立应急救援指挥系统，并定期进行应急培训和演练。做好日常巡检维修，及时发现、处理故障，保证污水处理厂的正常运行，防止事故排放造成的环境污染。</w:t>
      </w:r>
    </w:p>
    <w:p>
      <w:pPr>
        <w:pStyle w:val="2"/>
        <w:keepNext w:val="0"/>
        <w:keepLines w:val="0"/>
        <w:pageBreakBefore w:val="0"/>
        <w:kinsoku/>
        <w:wordWrap/>
        <w:overflowPunct/>
        <w:topLinePunct w:val="0"/>
        <w:bidi w:val="0"/>
        <w:spacing w:line="560" w:lineRule="exact"/>
        <w:ind w:firstLine="61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pPr>
        <w:keepNext w:val="0"/>
        <w:keepLines w:val="0"/>
        <w:pageBreakBefore w:val="0"/>
        <w:kinsoku/>
        <w:wordWrap/>
        <w:overflowPunct/>
        <w:topLinePunct w:val="0"/>
        <w:bidi w:val="0"/>
        <w:adjustRightInd w:val="0"/>
        <w:snapToGrid w:val="0"/>
        <w:spacing w:line="560" w:lineRule="exact"/>
        <w:ind w:firstLine="630"/>
        <w:jc w:val="both"/>
        <w:textAlignment w:val="auto"/>
        <w:rPr>
          <w:rFonts w:hint="eastAsia" w:ascii="仿宋_GB2312" w:hAnsi="仿宋_GB2312" w:eastAsia="仿宋_GB2312" w:cs="仿宋_GB2312"/>
        </w:rPr>
      </w:pPr>
      <w:r>
        <w:rPr>
          <w:rFonts w:hint="eastAsia" w:ascii="仿宋_GB2312" w:hAnsi="仿宋_GB2312" w:eastAsia="仿宋_GB2312" w:cs="仿宋_GB2312"/>
        </w:rPr>
        <w:t>五、你单位须严格按照《排污许可证管理暂行规定》要求，在投入生产或使用并产生实际排污行为之前申请领取排污许可证或进行排污登记。</w:t>
      </w:r>
    </w:p>
    <w:p>
      <w:pPr>
        <w:keepNext w:val="0"/>
        <w:keepLines w:val="0"/>
        <w:pageBreakBefore w:val="0"/>
        <w:kinsoku/>
        <w:wordWrap/>
        <w:overflowPunct/>
        <w:topLinePunct w:val="0"/>
        <w:bidi w:val="0"/>
        <w:adjustRightInd w:val="0"/>
        <w:snapToGrid w:val="0"/>
        <w:spacing w:line="560" w:lineRule="exact"/>
        <w:ind w:firstLine="61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六、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keepNext w:val="0"/>
        <w:keepLines w:val="0"/>
        <w:pageBreakBefore w:val="0"/>
        <w:kinsoku/>
        <w:wordWrap/>
        <w:overflowPunct/>
        <w:topLinePunct w:val="0"/>
        <w:bidi w:val="0"/>
        <w:adjustRightInd w:val="0"/>
        <w:snapToGrid w:val="0"/>
        <w:spacing w:line="560" w:lineRule="exact"/>
        <w:ind w:firstLine="630"/>
        <w:jc w:val="both"/>
        <w:textAlignment w:val="auto"/>
        <w:rPr>
          <w:rFonts w:hint="eastAsia" w:ascii="仿宋_GB2312" w:hAnsi="仿宋_GB2312" w:eastAsia="仿宋_GB2312" w:cs="仿宋_GB2312"/>
        </w:rPr>
      </w:pPr>
      <w:r>
        <w:rPr>
          <w:rFonts w:hint="eastAsia" w:ascii="仿宋_GB2312" w:hAnsi="仿宋_GB2312" w:eastAsia="仿宋_GB2312" w:cs="仿宋_GB2312"/>
        </w:rPr>
        <w:t>七、三团根据《关于印发&lt;第一师阿拉尔市党政及其工作部门环境保护工作职责暂行规定&gt;的通知》（师市党办发〔2017〕47号）要求，做好该项目环境监管工作，师市生态环境保护综合行政执法支队做好该项目的抽查监督工作。</w:t>
      </w:r>
    </w:p>
    <w:p>
      <w:pPr>
        <w:pStyle w:val="3"/>
        <w:keepNext w:val="0"/>
        <w:keepLines w:val="0"/>
        <w:pageBreakBefore w:val="0"/>
        <w:kinsoku/>
        <w:wordWrap/>
        <w:overflowPunct/>
        <w:topLinePunct w:val="0"/>
        <w:bidi w:val="0"/>
        <w:spacing w:after="0" w:line="560" w:lineRule="exact"/>
        <w:jc w:val="both"/>
        <w:textAlignment w:val="auto"/>
        <w:rPr>
          <w:rFonts w:hint="eastAsia" w:ascii="仿宋_GB2312" w:hAnsi="仿宋_GB2312" w:eastAsia="仿宋_GB2312" w:cs="仿宋_GB2312"/>
        </w:rPr>
      </w:pPr>
    </w:p>
    <w:p>
      <w:pPr>
        <w:pStyle w:val="3"/>
        <w:keepNext w:val="0"/>
        <w:keepLines w:val="0"/>
        <w:pageBreakBefore w:val="0"/>
        <w:kinsoku/>
        <w:wordWrap/>
        <w:overflowPunct/>
        <w:topLinePunct w:val="0"/>
        <w:bidi w:val="0"/>
        <w:spacing w:after="0" w:line="560" w:lineRule="exact"/>
        <w:jc w:val="both"/>
        <w:textAlignment w:val="auto"/>
        <w:rPr>
          <w:rFonts w:hint="eastAsia" w:ascii="仿宋_GB2312" w:hAnsi="仿宋_GB2312" w:eastAsia="仿宋_GB2312" w:cs="仿宋_GB2312"/>
        </w:rPr>
      </w:pPr>
    </w:p>
    <w:p>
      <w:pPr>
        <w:keepNext w:val="0"/>
        <w:keepLines w:val="0"/>
        <w:pageBreakBefore w:val="0"/>
        <w:kinsoku/>
        <w:wordWrap/>
        <w:overflowPunct/>
        <w:topLinePunct w:val="0"/>
        <w:bidi w:val="0"/>
        <w:adjustRightInd w:val="0"/>
        <w:snapToGrid w:val="0"/>
        <w:spacing w:line="560" w:lineRule="exact"/>
        <w:ind w:firstLine="4121" w:firstLineChars="1351"/>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第一师阿拉尔市生态环境局</w:t>
      </w:r>
    </w:p>
    <w:p>
      <w:pPr>
        <w:keepNext w:val="0"/>
        <w:keepLines w:val="0"/>
        <w:pageBreakBefore w:val="0"/>
        <w:kinsoku/>
        <w:wordWrap/>
        <w:overflowPunct/>
        <w:topLinePunct w:val="0"/>
        <w:bidi w:val="0"/>
        <w:adjustRightInd w:val="0"/>
        <w:snapToGrid w:val="0"/>
        <w:spacing w:line="560" w:lineRule="exact"/>
        <w:ind w:right="608"/>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 xml:space="preserve">                              2021年</w:t>
      </w:r>
      <w:r>
        <w:rPr>
          <w:rFonts w:hint="eastAsia" w:ascii="仿宋_GB2312" w:hAnsi="仿宋_GB2312" w:eastAsia="仿宋_GB2312" w:cs="仿宋_GB2312"/>
          <w:kern w:val="0"/>
          <w:lang w:val="en-US" w:eastAsia="zh-CN"/>
        </w:rPr>
        <w:t>4</w:t>
      </w:r>
      <w:r>
        <w:rPr>
          <w:rFonts w:hint="eastAsia" w:ascii="仿宋_GB2312" w:hAnsi="仿宋_GB2312" w:eastAsia="仿宋_GB2312" w:cs="仿宋_GB2312"/>
          <w:kern w:val="0"/>
        </w:rPr>
        <w:t>月</w:t>
      </w:r>
      <w:r>
        <w:rPr>
          <w:rFonts w:hint="eastAsia" w:ascii="仿宋_GB2312" w:hAnsi="仿宋_GB2312" w:eastAsia="仿宋_GB2312" w:cs="仿宋_GB2312"/>
          <w:kern w:val="0"/>
          <w:lang w:val="en-US" w:eastAsia="zh-CN"/>
        </w:rPr>
        <w:t>27</w:t>
      </w:r>
      <w:r>
        <w:rPr>
          <w:rFonts w:hint="eastAsia" w:ascii="仿宋_GB2312" w:hAnsi="仿宋_GB2312" w:eastAsia="仿宋_GB2312" w:cs="仿宋_GB2312"/>
          <w:kern w:val="0"/>
        </w:rPr>
        <w:t>日</w:t>
      </w:r>
    </w:p>
    <w:p>
      <w:pPr>
        <w:keepNext w:val="0"/>
        <w:keepLines w:val="0"/>
        <w:pageBreakBefore w:val="0"/>
        <w:widowControl/>
        <w:kinsoku/>
        <w:wordWrap/>
        <w:overflowPunct/>
        <w:topLinePunct w:val="0"/>
        <w:bidi w:val="0"/>
        <w:adjustRightInd w:val="0"/>
        <w:snapToGrid w:val="0"/>
        <w:spacing w:line="560" w:lineRule="exact"/>
        <w:ind w:right="608"/>
        <w:jc w:val="both"/>
        <w:textAlignment w:val="auto"/>
        <w:rPr>
          <w:rFonts w:hint="eastAsia" w:ascii="仿宋_GB2312" w:hAnsi="仿宋_GB2312" w:eastAsia="仿宋_GB2312" w:cs="仿宋_GB2312"/>
          <w:kern w:val="0"/>
        </w:rPr>
      </w:pPr>
    </w:p>
    <w:p>
      <w:pPr>
        <w:widowControl/>
        <w:adjustRightInd w:val="0"/>
        <w:snapToGrid w:val="0"/>
        <w:spacing w:line="560" w:lineRule="exact"/>
        <w:ind w:right="608"/>
        <w:rPr>
          <w:rFonts w:ascii="仿宋_GB2312"/>
          <w:kern w:val="0"/>
        </w:rPr>
      </w:pPr>
    </w:p>
    <w:p>
      <w:pPr>
        <w:widowControl/>
        <w:adjustRightInd w:val="0"/>
        <w:snapToGrid w:val="0"/>
        <w:spacing w:line="560" w:lineRule="exact"/>
        <w:ind w:right="608"/>
        <w:rPr>
          <w:rFonts w:ascii="仿宋_GB2312"/>
          <w:kern w:val="0"/>
        </w:rPr>
      </w:pPr>
    </w:p>
    <w:p>
      <w:pPr>
        <w:widowControl/>
        <w:adjustRightInd w:val="0"/>
        <w:snapToGrid w:val="0"/>
        <w:spacing w:line="560" w:lineRule="exact"/>
        <w:ind w:right="608"/>
        <w:rPr>
          <w:rFonts w:ascii="仿宋_GB2312"/>
          <w:kern w:val="0"/>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bookmarkStart w:id="0" w:name="_GoBack"/>
      <w:bookmarkEnd w:id="0"/>
    </w:p>
    <w:p>
      <w:pPr>
        <w:pStyle w:val="2"/>
        <w:rPr>
          <w:rFonts w:hint="default"/>
        </w:rPr>
      </w:pPr>
    </w:p>
    <w:p>
      <w:pPr>
        <w:widowControl/>
        <w:adjustRightInd w:val="0"/>
        <w:snapToGrid w:val="0"/>
        <w:spacing w:line="560" w:lineRule="exact"/>
        <w:ind w:right="608"/>
        <w:rPr>
          <w:rFonts w:ascii="仿宋_GB2312"/>
          <w:kern w:val="0"/>
        </w:rPr>
      </w:pPr>
      <w:r>
        <w:pict>
          <v:line id="_x0000_s1029" o:spid="_x0000_s1029" o:spt="20" style="position:absolute;left:0pt;margin-left:0pt;margin-top:25.1pt;height:0pt;width:423pt;z-index:251660288;mso-width-relative:page;mso-height-relative:page;" coordsize="21600,21600" o:gfxdata="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6uJrTAAAABgEAAA8AAAAAAAAAAQAg&#10;AAAAIgAAAGRycy9kb3ducmV2LnhtbFBLAQIUABQAAAAIAIdO4kC/tLCA2gEAAJYDAAAOAAAAAAAA&#10;AAEAIAAAACIBAABkcnMvZTJvRG9jLnhtbFBLBQYAAAAABgAGAFkBAABuBQAAAAA=&#10;">
            <v:path arrowok="t"/>
            <v:fill focussize="0,0"/>
            <v:stroke/>
            <v:imagedata o:title=""/>
            <o:lock v:ext="edit"/>
          </v:line>
        </w:pict>
      </w:r>
    </w:p>
    <w:p>
      <w:pPr>
        <w:topLinePunct/>
        <w:adjustRightInd w:val="0"/>
        <w:snapToGrid w:val="0"/>
        <w:spacing w:line="360" w:lineRule="auto"/>
        <w:ind w:left="623" w:leftChars="74" w:hanging="398" w:hangingChars="150"/>
        <w:rPr>
          <w:rFonts w:hint="eastAsia"/>
          <w:spacing w:val="-6"/>
          <w:w w:val="95"/>
          <w:sz w:val="28"/>
          <w:szCs w:val="28"/>
        </w:rPr>
      </w:pPr>
      <w:r>
        <w:rPr>
          <w:sz w:val="28"/>
          <w:szCs w:val="28"/>
        </w:rPr>
        <w:pict>
          <v:line id="_x0000_s1028" o:spid="_x0000_s1028" o:spt="20" style="position:absolute;left:0pt;margin-left:0pt;margin-top:48.75pt;height:0pt;width:423pt;z-index:251661312;mso-width-relative:page;mso-height-relative:page;" coordsize="21600,21600" o:gfxdata="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5xeagtQAAAAGAQAADwAAAAAAAAAB&#10;ACAAAAAiAAAAZHJzL2Rvd25yZXYueG1sUEsBAhQAFAAAAAgAh07iQK7f1O3bAQAAlgMAAA4AAAAA&#10;AAAAAQAgAAAAIwEAAGRycy9lMm9Eb2MueG1sUEsFBgAAAAAGAAYAWQEAAHAFAAAAAA==&#10;">
            <v:path arrowok="t"/>
            <v:fill focussize="0,0"/>
            <v:stroke/>
            <v:imagedata o:title=""/>
            <o:lock v:ext="edit"/>
          </v:line>
        </w:pict>
      </w:r>
      <w:r>
        <w:rPr>
          <w:sz w:val="28"/>
          <w:szCs w:val="28"/>
        </w:rPr>
        <w:t>抄送：</w:t>
      </w:r>
      <w:r>
        <w:rPr>
          <w:rFonts w:hint="eastAsia"/>
          <w:spacing w:val="-6"/>
          <w:w w:val="95"/>
          <w:sz w:val="28"/>
          <w:szCs w:val="28"/>
        </w:rPr>
        <w:t>师市相关领导，发改委、自然资源和规划局、生态环境保护综合行政执法</w:t>
      </w:r>
    </w:p>
    <w:p>
      <w:pPr>
        <w:topLinePunct/>
        <w:adjustRightInd w:val="0"/>
        <w:snapToGrid w:val="0"/>
        <w:spacing w:line="360" w:lineRule="auto"/>
        <w:rPr>
          <w:spacing w:val="-6"/>
          <w:sz w:val="28"/>
          <w:szCs w:val="28"/>
        </w:rPr>
      </w:pPr>
      <w:r>
        <w:rPr>
          <w:rFonts w:hint="eastAsia"/>
          <w:spacing w:val="-6"/>
          <w:w w:val="95"/>
          <w:sz w:val="28"/>
          <w:szCs w:val="28"/>
        </w:rPr>
        <w:t>支队、新疆兵团勘测设计院（集团）有限责任公司</w:t>
      </w:r>
      <w:r>
        <w:rPr>
          <w:spacing w:val="-6"/>
          <w:w w:val="95"/>
          <w:sz w:val="28"/>
          <w:szCs w:val="28"/>
        </w:rPr>
        <w:t>。</w:t>
      </w:r>
    </w:p>
    <w:p>
      <w:pPr>
        <w:tabs>
          <w:tab w:val="left" w:pos="312"/>
        </w:tabs>
        <w:spacing w:line="560" w:lineRule="exact"/>
        <w:ind w:firstLine="153" w:firstLineChars="50"/>
      </w:pPr>
      <w:r>
        <w:pict>
          <v:line id="_x0000_s1027" o:spid="_x0000_s1027" o:spt="20" style="position:absolute;left:0pt;margin-left:0pt;margin-top:33.4pt;height:0pt;width:423pt;z-index:251662336;mso-width-relative:page;mso-height-relative:page;" coordsize="21600,21600" o:gfxdata="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5Hopg0wAAAAYBAAAPAAAAAAAAAAEA&#10;IAAAACIAAABkcnMvZG93bnJldi54bWxQSwECFAAUAAAACACHTuJAmMiYNNsBAACWAwAADgAAAAAA&#10;AAABACAAAAAiAQAAZHJzL2Uyb0RvYy54bWxQSwUGAAAAAAYABgBZAQAAbwUAAAAA&#10;">
            <v:path arrowok="t"/>
            <v:fill focussize="0,0"/>
            <v:stroke/>
            <v:imagedata o:title=""/>
            <o:lock v:ext="edit"/>
          </v:line>
        </w:pict>
      </w:r>
      <w:r>
        <w:rPr>
          <w:sz w:val="28"/>
          <w:szCs w:val="28"/>
        </w:rPr>
        <w:t>第一师</w:t>
      </w:r>
      <w:r>
        <w:rPr>
          <w:rFonts w:hint="eastAsia"/>
          <w:sz w:val="28"/>
          <w:szCs w:val="28"/>
        </w:rPr>
        <w:t>阿拉尔市生态环境</w:t>
      </w:r>
      <w:r>
        <w:rPr>
          <w:sz w:val="28"/>
          <w:szCs w:val="28"/>
        </w:rPr>
        <w:t>局                   20</w:t>
      </w:r>
      <w:r>
        <w:rPr>
          <w:rFonts w:hint="eastAsia"/>
          <w:sz w:val="28"/>
          <w:szCs w:val="28"/>
        </w:rPr>
        <w:t>21</w:t>
      </w:r>
      <w:r>
        <w:rPr>
          <w:sz w:val="28"/>
          <w:szCs w:val="28"/>
        </w:rPr>
        <w:t>年</w:t>
      </w:r>
      <w:r>
        <w:rPr>
          <w:rFonts w:hint="eastAsia"/>
          <w:sz w:val="28"/>
          <w:szCs w:val="28"/>
          <w:lang w:val="en-US" w:eastAsia="zh-CN"/>
        </w:rPr>
        <w:t>4</w:t>
      </w:r>
      <w:r>
        <w:rPr>
          <w:sz w:val="28"/>
          <w:szCs w:val="28"/>
        </w:rPr>
        <w:t>月</w:t>
      </w:r>
      <w:r>
        <w:rPr>
          <w:rFonts w:hint="eastAsia"/>
          <w:sz w:val="28"/>
          <w:szCs w:val="28"/>
          <w:lang w:val="en-US" w:eastAsia="zh-CN"/>
        </w:rPr>
        <w:t>27</w:t>
      </w:r>
      <w:r>
        <w:rPr>
          <w:sz w:val="28"/>
          <w:szCs w:val="28"/>
        </w:rPr>
        <w:t>日印发</w:t>
      </w:r>
    </w:p>
    <w:sectPr>
      <w:headerReference r:id="rId3" w:type="default"/>
      <w:footerReference r:id="rId4" w:type="default"/>
      <w:footerReference r:id="rId5" w:type="even"/>
      <w:pgSz w:w="11906" w:h="16838"/>
      <w:pgMar w:top="2098" w:right="1474" w:bottom="1985" w:left="1588" w:header="2098" w:footer="1985" w:gutter="0"/>
      <w:cols w:space="720"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仿宋_GB2312"/>
        <w:sz w:val="28"/>
        <w:szCs w:val="28"/>
      </w:rPr>
    </w:pPr>
    <w:r>
      <w:rPr>
        <w:sz w:val="28"/>
      </w:rPr>
      <w:pict>
        <v:shape id="文本框 5"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XurQEAAD8DAAAOAAAAZHJzL2Uyb0RvYy54bWysUs1qGzEQvgfyDkL3WhtD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HAIF7q0BAAA/AwAADgAAAAAAAAAAAAAAAAAuAgAAZHJzL2Uyb0RvYy54bWxQSwECLQAUAAYA&#10;CAAAACEADErw7tYAAAAFAQAADwAAAAAAAAAAAAAAAAAHBAAAZHJzL2Rvd25yZXYueG1sUEsFBgAA&#10;AAAEAAQA8wAAAAoFAAAAAA==&#10;">
          <v:path/>
          <v:fill on="f" focussize="0,0"/>
          <v:stroke on="f" joinstyle="miter"/>
          <v:imagedata o:title=""/>
          <o:lock v:ext="edit"/>
          <v:textbox inset="0mm,0mm,0mm,0mm" style="mso-fit-shape-to-text:t;">
            <w:txbxContent>
              <w:p>
                <w:pPr>
                  <w:pStyle w:val="5"/>
                  <w:wordWrap w:val="0"/>
                  <w:jc w:val="right"/>
                </w:pPr>
                <w:r>
                  <w:rPr>
                    <w:rFonts w:hint="eastAsia" w:ascii="仿宋_GB2312"/>
                    <w:kern w:val="0"/>
                    <w:sz w:val="28"/>
                    <w:szCs w:val="28"/>
                  </w:rPr>
                  <w:t xml:space="preserve">— </w:t>
                </w:r>
                <w:r>
                  <w:rPr>
                    <w:rFonts w:hint="eastAsia" w:ascii="仿宋_GB2312"/>
                    <w:kern w:val="0"/>
                    <w:sz w:val="28"/>
                    <w:szCs w:val="28"/>
                  </w:rPr>
                  <w:fldChar w:fldCharType="begin"/>
                </w:r>
                <w:r>
                  <w:rPr>
                    <w:rFonts w:hint="eastAsia" w:ascii="仿宋_GB2312"/>
                    <w:kern w:val="0"/>
                    <w:sz w:val="28"/>
                    <w:szCs w:val="28"/>
                  </w:rPr>
                  <w:instrText xml:space="preserve"> PAGE </w:instrText>
                </w:r>
                <w:r>
                  <w:rPr>
                    <w:rFonts w:hint="eastAsia" w:ascii="仿宋_GB2312"/>
                    <w:kern w:val="0"/>
                    <w:sz w:val="28"/>
                    <w:szCs w:val="28"/>
                  </w:rPr>
                  <w:fldChar w:fldCharType="separate"/>
                </w:r>
                <w:r>
                  <w:rPr>
                    <w:rFonts w:ascii="仿宋_GB2312"/>
                    <w:kern w:val="0"/>
                    <w:sz w:val="28"/>
                    <w:szCs w:val="28"/>
                  </w:rPr>
                  <w:t>4</w:t>
                </w:r>
                <w:r>
                  <w:rPr>
                    <w:rFonts w:hint="eastAsia" w:ascii="仿宋_GB2312"/>
                    <w:kern w:val="0"/>
                    <w:sz w:val="28"/>
                    <w:szCs w:val="28"/>
                  </w:rPr>
                  <w:fldChar w:fldCharType="end"/>
                </w:r>
                <w:r>
                  <w:rPr>
                    <w:rFonts w:hint="eastAsia" w:ascii="仿宋_GB2312"/>
                    <w:kern w:val="0"/>
                    <w:sz w:val="28"/>
                    <w:szCs w:val="28"/>
                  </w:rPr>
                  <w:t xml:space="preserve"> —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仿宋_GB2312"/>
        <w:sz w:val="28"/>
        <w:szCs w:val="28"/>
      </w:rPr>
    </w:pPr>
    <w:r>
      <w:rPr>
        <w:rFonts w:hint="eastAsia" w:ascii="仿宋_GB2312"/>
        <w:sz w:val="28"/>
        <w:szCs w:val="28"/>
      </w:rPr>
      <w:t xml:space="preserve">— </w:t>
    </w:r>
    <w:r>
      <w:rPr>
        <w:rFonts w:hint="eastAsia" w:ascii="仿宋_GB2312"/>
        <w:sz w:val="28"/>
        <w:szCs w:val="28"/>
      </w:rPr>
      <w:fldChar w:fldCharType="begin"/>
    </w:r>
    <w:r>
      <w:rPr>
        <w:rStyle w:val="9"/>
        <w:rFonts w:hint="eastAsia" w:ascii="仿宋_GB2312"/>
        <w:sz w:val="28"/>
        <w:szCs w:val="28"/>
      </w:rPr>
      <w:instrText xml:space="preserve"> PAGE </w:instrText>
    </w:r>
    <w:r>
      <w:rPr>
        <w:rFonts w:hint="eastAsia" w:ascii="仿宋_GB2312"/>
        <w:sz w:val="28"/>
        <w:szCs w:val="28"/>
      </w:rPr>
      <w:fldChar w:fldCharType="separate"/>
    </w:r>
    <w:r>
      <w:rPr>
        <w:rStyle w:val="9"/>
        <w:rFonts w:ascii="仿宋_GB2312"/>
        <w:sz w:val="28"/>
        <w:szCs w:val="28"/>
      </w:rPr>
      <w:t>4</w:t>
    </w:r>
    <w:r>
      <w:rPr>
        <w:rFonts w:hint="eastAsia" w:ascii="仿宋_GB2312"/>
        <w:sz w:val="28"/>
        <w:szCs w:val="28"/>
      </w:rPr>
      <w:fldChar w:fldCharType="end"/>
    </w:r>
    <w:r>
      <w:rPr>
        <w:rStyle w:val="9"/>
        <w:rFonts w:hint="eastAsia" w:ascii="仿宋_GB2312"/>
        <w:sz w:val="28"/>
        <w:szCs w:val="28"/>
      </w:rPr>
      <w:t xml:space="preserve"> </w:t>
    </w:r>
    <w:r>
      <w:rPr>
        <w:rFonts w:hint="eastAsia" w:ascii="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39B50D7"/>
    <w:rsid w:val="00016BDE"/>
    <w:rsid w:val="00046744"/>
    <w:rsid w:val="000E325E"/>
    <w:rsid w:val="00131AD2"/>
    <w:rsid w:val="00154517"/>
    <w:rsid w:val="002B19C8"/>
    <w:rsid w:val="00317B19"/>
    <w:rsid w:val="00337790"/>
    <w:rsid w:val="003F3A9F"/>
    <w:rsid w:val="00425EFB"/>
    <w:rsid w:val="004C21F7"/>
    <w:rsid w:val="00503047"/>
    <w:rsid w:val="00544ABA"/>
    <w:rsid w:val="00551B74"/>
    <w:rsid w:val="00574966"/>
    <w:rsid w:val="005832F6"/>
    <w:rsid w:val="005A0EF4"/>
    <w:rsid w:val="005F531A"/>
    <w:rsid w:val="0065161D"/>
    <w:rsid w:val="006A13E9"/>
    <w:rsid w:val="006C14B9"/>
    <w:rsid w:val="006D69B8"/>
    <w:rsid w:val="006D7837"/>
    <w:rsid w:val="006F4B4E"/>
    <w:rsid w:val="0070576E"/>
    <w:rsid w:val="007F26DF"/>
    <w:rsid w:val="008D5E8C"/>
    <w:rsid w:val="00937EBE"/>
    <w:rsid w:val="009D32CE"/>
    <w:rsid w:val="00A4697E"/>
    <w:rsid w:val="00A56867"/>
    <w:rsid w:val="00A8495D"/>
    <w:rsid w:val="00A95CE8"/>
    <w:rsid w:val="00A97B8E"/>
    <w:rsid w:val="00B45C79"/>
    <w:rsid w:val="00B714FA"/>
    <w:rsid w:val="00B7557F"/>
    <w:rsid w:val="00BA5CB4"/>
    <w:rsid w:val="00BC58C6"/>
    <w:rsid w:val="00BD7E9D"/>
    <w:rsid w:val="00C21A9D"/>
    <w:rsid w:val="00C43A2D"/>
    <w:rsid w:val="00C81CA0"/>
    <w:rsid w:val="00C83EEA"/>
    <w:rsid w:val="00CD6E36"/>
    <w:rsid w:val="00D033F3"/>
    <w:rsid w:val="00D33762"/>
    <w:rsid w:val="00D51444"/>
    <w:rsid w:val="00D62111"/>
    <w:rsid w:val="00D71B85"/>
    <w:rsid w:val="00DA60A1"/>
    <w:rsid w:val="00DB0843"/>
    <w:rsid w:val="00E36172"/>
    <w:rsid w:val="00EC2B80"/>
    <w:rsid w:val="00EC4756"/>
    <w:rsid w:val="00F3491A"/>
    <w:rsid w:val="00FF1A9F"/>
    <w:rsid w:val="08811A5C"/>
    <w:rsid w:val="0B600DFD"/>
    <w:rsid w:val="15CC203A"/>
    <w:rsid w:val="186E149E"/>
    <w:rsid w:val="1AF44BD8"/>
    <w:rsid w:val="1B9C4428"/>
    <w:rsid w:val="1F1421A8"/>
    <w:rsid w:val="211667CB"/>
    <w:rsid w:val="230F4973"/>
    <w:rsid w:val="239B50D7"/>
    <w:rsid w:val="275746DD"/>
    <w:rsid w:val="31B5299E"/>
    <w:rsid w:val="32E10D6E"/>
    <w:rsid w:val="342C2E72"/>
    <w:rsid w:val="35621FD3"/>
    <w:rsid w:val="379D48A2"/>
    <w:rsid w:val="3F1B1395"/>
    <w:rsid w:val="44FC29CD"/>
    <w:rsid w:val="45873C66"/>
    <w:rsid w:val="46022F6A"/>
    <w:rsid w:val="480C2729"/>
    <w:rsid w:val="508D765E"/>
    <w:rsid w:val="533B7119"/>
    <w:rsid w:val="53C125EB"/>
    <w:rsid w:val="564D3286"/>
    <w:rsid w:val="5CD25C98"/>
    <w:rsid w:val="60182BAD"/>
    <w:rsid w:val="6105263C"/>
    <w:rsid w:val="62833D3F"/>
    <w:rsid w:val="65281682"/>
    <w:rsid w:val="6DEE64C3"/>
    <w:rsid w:val="708E7EB7"/>
    <w:rsid w:val="734B05C2"/>
    <w:rsid w:val="7414378F"/>
    <w:rsid w:val="748259B9"/>
    <w:rsid w:val="78165F38"/>
    <w:rsid w:val="7E24255E"/>
    <w:rsid w:val="7F1B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jc w:val="left"/>
    </w:pPr>
    <w:rPr>
      <w:rFonts w:hint="eastAsia" w:ascii="宋体" w:eastAsia="宋体"/>
      <w:color w:val="000000"/>
      <w:kern w:val="0"/>
      <w:sz w:val="24"/>
      <w:szCs w:val="24"/>
    </w:rPr>
  </w:style>
  <w:style w:type="paragraph" w:styleId="3">
    <w:name w:val="Body Text"/>
    <w:basedOn w:val="1"/>
    <w:qFormat/>
    <w:uiPriority w:val="0"/>
    <w:pPr>
      <w:spacing w:after="120"/>
    </w:pPr>
    <w:rPr>
      <w:rFonts w:eastAsia="宋体"/>
    </w:rPr>
  </w:style>
  <w:style w:type="paragraph" w:styleId="4">
    <w:name w:val="Body Text Indent"/>
    <w:basedOn w:val="1"/>
    <w:link w:val="12"/>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thickThinSmallGap" w:color="auto" w:sz="24" w:space="1"/>
      </w:pBdr>
      <w:tabs>
        <w:tab w:val="center" w:pos="4153"/>
        <w:tab w:val="right" w:pos="8306"/>
      </w:tabs>
      <w:snapToGrid w:val="0"/>
      <w:jc w:val="center"/>
    </w:pPr>
    <w:rPr>
      <w:sz w:val="24"/>
      <w:szCs w:val="18"/>
    </w:rPr>
  </w:style>
  <w:style w:type="character" w:styleId="9">
    <w:name w:val="page number"/>
    <w:basedOn w:val="8"/>
    <w:qFormat/>
    <w:uiPriority w:val="0"/>
  </w:style>
  <w:style w:type="paragraph" w:customStyle="1" w:styleId="10">
    <w:name w:val="表内文字"/>
    <w:basedOn w:val="1"/>
    <w:qFormat/>
    <w:uiPriority w:val="0"/>
    <w:pPr>
      <w:widowControl/>
      <w:adjustRightInd w:val="0"/>
      <w:snapToGrid w:val="0"/>
      <w:spacing w:line="240" w:lineRule="atLeast"/>
      <w:jc w:val="center"/>
    </w:pPr>
    <w:rPr>
      <w:rFonts w:eastAsia="宋体"/>
      <w:kern w:val="0"/>
      <w:sz w:val="21"/>
      <w:szCs w:val="20"/>
    </w:rPr>
  </w:style>
  <w:style w:type="paragraph" w:customStyle="1" w:styleId="11">
    <w:name w:val="9"/>
    <w:basedOn w:val="1"/>
    <w:qFormat/>
    <w:uiPriority w:val="0"/>
    <w:pPr>
      <w:spacing w:line="460" w:lineRule="exact"/>
      <w:ind w:firstLine="480" w:firstLineChars="200"/>
    </w:pPr>
    <w:rPr>
      <w:rFonts w:ascii="宋体" w:hAnsi="宋体" w:eastAsia="宋体"/>
      <w:bCs/>
      <w:sz w:val="24"/>
      <w:szCs w:val="24"/>
    </w:rPr>
  </w:style>
  <w:style w:type="character" w:customStyle="1" w:styleId="12">
    <w:name w:val="正文文本缩进 Char"/>
    <w:basedOn w:val="8"/>
    <w:link w:val="4"/>
    <w:qFormat/>
    <w:uiPriority w:val="0"/>
    <w:rPr>
      <w:rFonts w:eastAsia="仿宋_GB2312"/>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341</Words>
  <Characters>1948</Characters>
  <Lines>16</Lines>
  <Paragraphs>4</Paragraphs>
  <TotalTime>3</TotalTime>
  <ScaleCrop>false</ScaleCrop>
  <LinksUpToDate>false</LinksUpToDate>
  <CharactersWithSpaces>2285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2019-05-05T02:29:00Z</dcterms:created>
  <dc:creator>Administrator</dc:creator>
  <cp:lastModifiedBy>陌</cp:lastModifiedBy>
  <cp:lastPrinted>2021-04-28T08:04:57Z</cp:lastPrinted>
  <dcterms:modified xsi:type="dcterms:W3CDTF">2021-04-28T08:06:10Z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7A749773A43D4FC9AA195B80BCE1D337</vt:lpwstr>
  </property>
</Properties>
</file>