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912"/>
          <w:tab w:val="left" w:pos="1216"/>
          <w:tab w:val="left" w:pos="1520"/>
          <w:tab w:val="left" w:pos="1672"/>
          <w:tab w:val="left" w:pos="1824"/>
          <w:tab w:val="left" w:pos="1976"/>
          <w:tab w:val="left" w:pos="2128"/>
          <w:tab w:val="left" w:pos="2280"/>
        </w:tabs>
        <w:jc w:val="center"/>
        <w:rPr>
          <w:rFonts w:ascii="仿宋_GB2312" w:hAnsi="仿宋_GB2312" w:cs="仿宋_GB2312"/>
        </w:rPr>
      </w:pPr>
    </w:p>
    <w:p>
      <w:pPr>
        <w:tabs>
          <w:tab w:val="left" w:pos="912"/>
          <w:tab w:val="left" w:pos="1216"/>
          <w:tab w:val="left" w:pos="1520"/>
          <w:tab w:val="left" w:pos="1672"/>
          <w:tab w:val="left" w:pos="1824"/>
          <w:tab w:val="left" w:pos="1976"/>
          <w:tab w:val="left" w:pos="2128"/>
          <w:tab w:val="left" w:pos="2280"/>
        </w:tabs>
        <w:jc w:val="center"/>
        <w:rPr>
          <w:rFonts w:ascii="仿宋_GB2312" w:hAnsi="仿宋_GB2312" w:cs="仿宋_GB2312"/>
        </w:rPr>
      </w:pPr>
    </w:p>
    <w:p>
      <w:pPr>
        <w:tabs>
          <w:tab w:val="left" w:pos="912"/>
          <w:tab w:val="left" w:pos="1216"/>
          <w:tab w:val="left" w:pos="1520"/>
          <w:tab w:val="left" w:pos="1672"/>
          <w:tab w:val="left" w:pos="1824"/>
          <w:tab w:val="left" w:pos="1976"/>
          <w:tab w:val="left" w:pos="2128"/>
          <w:tab w:val="left" w:pos="2280"/>
        </w:tabs>
        <w:jc w:val="center"/>
        <w:rPr>
          <w:rFonts w:ascii="仿宋_GB2312" w:hAnsi="仿宋_GB2312" w:cs="仿宋_GB2312"/>
        </w:rPr>
      </w:pPr>
    </w:p>
    <w:p>
      <w:pPr>
        <w:tabs>
          <w:tab w:val="left" w:pos="912"/>
          <w:tab w:val="left" w:pos="1216"/>
          <w:tab w:val="left" w:pos="1520"/>
          <w:tab w:val="left" w:pos="1672"/>
          <w:tab w:val="left" w:pos="1824"/>
          <w:tab w:val="left" w:pos="1976"/>
          <w:tab w:val="left" w:pos="2128"/>
          <w:tab w:val="left" w:pos="2280"/>
        </w:tabs>
        <w:jc w:val="center"/>
        <w:rPr>
          <w:rFonts w:ascii="仿宋_GB2312" w:hAnsi="仿宋_GB2312" w:cs="仿宋_GB2312"/>
        </w:rPr>
      </w:pPr>
    </w:p>
    <w:p>
      <w:pPr>
        <w:tabs>
          <w:tab w:val="left" w:pos="912"/>
          <w:tab w:val="left" w:pos="1216"/>
          <w:tab w:val="left" w:pos="1520"/>
          <w:tab w:val="left" w:pos="1672"/>
          <w:tab w:val="left" w:pos="1824"/>
          <w:tab w:val="left" w:pos="1976"/>
          <w:tab w:val="left" w:pos="2128"/>
          <w:tab w:val="left" w:pos="2280"/>
        </w:tabs>
        <w:jc w:val="center"/>
        <w:rPr>
          <w:rFonts w:ascii="仿宋_GB2312" w:hAnsi="仿宋_GB2312" w:cs="仿宋_GB2312"/>
        </w:rPr>
      </w:pPr>
    </w:p>
    <w:p>
      <w:pPr>
        <w:tabs>
          <w:tab w:val="left" w:pos="912"/>
          <w:tab w:val="left" w:pos="1216"/>
          <w:tab w:val="left" w:pos="1520"/>
          <w:tab w:val="left" w:pos="1672"/>
          <w:tab w:val="left" w:pos="1824"/>
          <w:tab w:val="left" w:pos="1976"/>
          <w:tab w:val="left" w:pos="2128"/>
          <w:tab w:val="left" w:pos="2280"/>
        </w:tabs>
        <w:rPr>
          <w:rFonts w:ascii="仿宋_GB2312" w:hAnsi="仿宋_GB2312" w:cs="仿宋_GB2312"/>
        </w:rPr>
      </w:pPr>
    </w:p>
    <w:p>
      <w:pPr>
        <w:tabs>
          <w:tab w:val="left" w:pos="912"/>
          <w:tab w:val="left" w:pos="1216"/>
          <w:tab w:val="left" w:pos="1520"/>
          <w:tab w:val="left" w:pos="1672"/>
          <w:tab w:val="left" w:pos="1824"/>
          <w:tab w:val="left" w:pos="1976"/>
          <w:tab w:val="left" w:pos="2128"/>
          <w:tab w:val="left" w:pos="2280"/>
        </w:tabs>
        <w:jc w:val="center"/>
        <w:rPr>
          <w:rFonts w:ascii="仿宋_GB2312" w:hAnsi="仿宋_GB2312" w:cs="仿宋_GB2312"/>
        </w:rPr>
      </w:pPr>
      <w:r>
        <w:rPr>
          <w:rFonts w:hint="eastAsia" w:ascii="仿宋_GB2312" w:hAnsi="仿宋_GB2312" w:cs="仿宋_GB2312"/>
        </w:rPr>
        <w:t>师市环</w:t>
      </w:r>
      <w:r>
        <w:rPr>
          <w:rFonts w:hint="eastAsia" w:ascii="仿宋_GB2312" w:hAnsi="仿宋_GB2312" w:cs="仿宋_GB2312"/>
          <w:lang w:eastAsia="zh-CN"/>
        </w:rPr>
        <w:t>审</w:t>
      </w:r>
      <w:r>
        <w:rPr>
          <w:rFonts w:hint="eastAsia" w:ascii="仿宋_GB2312" w:hAnsi="仿宋_GB2312" w:cs="仿宋_GB2312"/>
        </w:rPr>
        <w:t>〔2020〕111号</w:t>
      </w:r>
    </w:p>
    <w:p>
      <w:pPr>
        <w:spacing w:line="640" w:lineRule="exact"/>
        <w:jc w:val="center"/>
        <w:rPr>
          <w:rFonts w:ascii="方正小标宋简体" w:eastAsia="方正小标宋简体"/>
          <w:sz w:val="44"/>
          <w:szCs w:val="44"/>
        </w:rPr>
      </w:pPr>
      <w:bookmarkStart w:id="0" w:name="_GoBack"/>
      <w:bookmarkEnd w:id="0"/>
    </w:p>
    <w:p>
      <w:pPr>
        <w:spacing w:line="640" w:lineRule="exact"/>
        <w:jc w:val="center"/>
        <w:rPr>
          <w:rFonts w:ascii="方正小标宋简体" w:eastAsia="方正小标宋简体"/>
          <w:sz w:val="44"/>
          <w:szCs w:val="44"/>
        </w:rPr>
      </w:pPr>
      <w:r>
        <w:rPr>
          <w:rFonts w:hint="eastAsia" w:ascii="方正小标宋简体" w:eastAsia="方正小标宋简体"/>
          <w:sz w:val="44"/>
          <w:szCs w:val="44"/>
        </w:rPr>
        <w:t>关于第一师阿拉尔市九年一贯制学校一期</w:t>
      </w:r>
      <w:r>
        <w:rPr>
          <w:rFonts w:ascii="方正小标宋简体" w:eastAsia="方正小标宋简体"/>
          <w:bCs/>
          <w:sz w:val="44"/>
          <w:szCs w:val="44"/>
        </w:rPr>
        <w:t>建设项目</w:t>
      </w:r>
      <w:r>
        <w:rPr>
          <w:rFonts w:hint="eastAsia" w:ascii="方正小标宋简体" w:eastAsia="方正小标宋简体"/>
          <w:sz w:val="44"/>
          <w:szCs w:val="44"/>
        </w:rPr>
        <w:t>环境影响报告表的批复</w:t>
      </w:r>
    </w:p>
    <w:p>
      <w:pPr>
        <w:pStyle w:val="2"/>
        <w:rPr>
          <w:rFonts w:hint="default"/>
        </w:rPr>
      </w:pPr>
    </w:p>
    <w:p/>
    <w:p>
      <w:pPr>
        <w:pStyle w:val="2"/>
        <w:spacing w:line="480" w:lineRule="exact"/>
        <w:rPr>
          <w:rFonts w:hint="default" w:ascii="仿宋_GB2312" w:hAnsi="仿宋_GB2312" w:eastAsia="仿宋_GB2312" w:cs="仿宋_GB2312"/>
          <w:sz w:val="32"/>
          <w:szCs w:val="32"/>
        </w:rPr>
      </w:pPr>
      <w:r>
        <w:rPr>
          <w:rFonts w:ascii="仿宋_GB2312" w:hAnsi="仿宋_GB2312" w:eastAsia="仿宋_GB2312" w:cs="仿宋_GB2312"/>
          <w:sz w:val="32"/>
          <w:szCs w:val="32"/>
        </w:rPr>
        <w:t>第一师阿拉尔市教育资助和后勤服务中心：</w:t>
      </w:r>
    </w:p>
    <w:p>
      <w:pPr>
        <w:adjustRightInd w:val="0"/>
        <w:snapToGrid w:val="0"/>
        <w:spacing w:line="480" w:lineRule="exact"/>
        <w:ind w:firstLine="630"/>
        <w:rPr>
          <w:rFonts w:ascii="仿宋_GB2312" w:hAnsi="仿宋_GB2312" w:cs="仿宋_GB2312"/>
        </w:rPr>
      </w:pPr>
      <w:r>
        <w:rPr>
          <w:rFonts w:hint="eastAsia" w:ascii="仿宋_GB2312" w:hAnsi="仿宋_GB2312" w:cs="仿宋_GB2312"/>
        </w:rPr>
        <w:t>你单位报送的《关于报批第一师阿拉尔市九年一贯制学校一期建设项目环境影响评价报告表的申请》及《第一师阿拉尔市九年一贯制学校一期建设项目环境影响报告表》（以下简称报告表）收悉。经专家审查和研究，现批复如下：</w:t>
      </w:r>
    </w:p>
    <w:p>
      <w:pPr>
        <w:pStyle w:val="2"/>
        <w:numPr>
          <w:ilvl w:val="0"/>
          <w:numId w:val="1"/>
        </w:numPr>
        <w:spacing w:line="480" w:lineRule="exact"/>
        <w:ind w:firstLine="640" w:firstLineChars="200"/>
        <w:rPr>
          <w:rFonts w:hint="default" w:ascii="仿宋_GB2312" w:hAnsi="仿宋_GB2312" w:eastAsia="仿宋_GB2312" w:cs="仿宋_GB2312"/>
          <w:sz w:val="32"/>
          <w:szCs w:val="32"/>
        </w:rPr>
      </w:pPr>
      <w:r>
        <w:rPr>
          <w:rFonts w:ascii="仿宋_GB2312" w:hAnsi="仿宋_GB2312" w:eastAsia="仿宋_GB2312" w:cs="仿宋_GB2312"/>
          <w:sz w:val="32"/>
          <w:szCs w:val="32"/>
        </w:rPr>
        <w:t>该项目位于阿拉尔市区内，</w:t>
      </w:r>
      <w:r>
        <w:rPr>
          <w:rFonts w:ascii="仿宋_GB2312" w:hAnsi="仿宋_GB2312" w:eastAsia="仿宋_GB2312" w:cs="仿宋_GB2312"/>
          <w:bCs/>
          <w:sz w:val="32"/>
          <w:szCs w:val="32"/>
        </w:rPr>
        <w:t>中心地理坐标为：东经81°16′02.38″，北纬40°32′43.64″，该项目</w:t>
      </w:r>
      <w:r>
        <w:rPr>
          <w:rFonts w:ascii="仿宋_GB2312" w:hAnsi="仿宋_GB2312" w:eastAsia="仿宋_GB2312" w:cs="仿宋_GB2312"/>
          <w:sz w:val="32"/>
          <w:szCs w:val="32"/>
        </w:rPr>
        <w:t>北为胜利大道，南为现状道路，西为青松路，东为新井子南路。</w:t>
      </w:r>
      <w:r>
        <w:rPr>
          <w:rFonts w:ascii="仿宋_GB2312" w:hAnsi="仿宋_GB2312" w:eastAsia="仿宋_GB2312" w:cs="仿宋_GB2312"/>
          <w:kern w:val="2"/>
          <w:sz w:val="32"/>
          <w:szCs w:val="32"/>
        </w:rPr>
        <w:t>项目区总用地面积73236.76m</w:t>
      </w:r>
      <w:r>
        <w:rPr>
          <w:rFonts w:ascii="仿宋_GB2312" w:hAnsi="仿宋_GB2312" w:eastAsia="仿宋_GB2312" w:cs="仿宋_GB2312"/>
          <w:kern w:val="2"/>
          <w:sz w:val="32"/>
          <w:szCs w:val="32"/>
          <w:vertAlign w:val="superscript"/>
        </w:rPr>
        <w:t>2</w:t>
      </w:r>
      <w:r>
        <w:rPr>
          <w:rFonts w:ascii="仿宋_GB2312" w:hAnsi="仿宋_GB2312" w:eastAsia="仿宋_GB2312" w:cs="仿宋_GB2312"/>
          <w:kern w:val="2"/>
          <w:sz w:val="32"/>
          <w:szCs w:val="32"/>
        </w:rPr>
        <w:t>，</w:t>
      </w:r>
      <w:r>
        <w:rPr>
          <w:rFonts w:ascii="仿宋_GB2312" w:hAnsi="仿宋_GB2312" w:eastAsia="仿宋_GB2312" w:cs="仿宋_GB2312"/>
          <w:sz w:val="32"/>
          <w:szCs w:val="32"/>
        </w:rPr>
        <w:t>项目总建筑面积28833.54</w:t>
      </w:r>
      <w:r>
        <w:rPr>
          <w:rFonts w:ascii="仿宋_GB2312" w:hAnsi="仿宋_GB2312" w:eastAsia="仿宋_GB2312" w:cs="仿宋_GB2312"/>
          <w:bCs/>
          <w:sz w:val="32"/>
          <w:szCs w:val="32"/>
        </w:rPr>
        <w:t>㎡，</w:t>
      </w:r>
      <w:r>
        <w:rPr>
          <w:rFonts w:ascii="仿宋_GB2312" w:hAnsi="仿宋_GB2312" w:eastAsia="仿宋_GB2312" w:cs="仿宋_GB2312"/>
          <w:kern w:val="2"/>
          <w:sz w:val="32"/>
          <w:szCs w:val="32"/>
        </w:rPr>
        <w:t>主要建设内容包括：新建2#教学楼建筑面积3300</w:t>
      </w:r>
      <w:r>
        <w:rPr>
          <w:rFonts w:ascii="仿宋_GB2312" w:hAnsi="仿宋_GB2312" w:eastAsia="仿宋_GB2312" w:cs="仿宋_GB2312"/>
          <w:bCs/>
          <w:sz w:val="32"/>
          <w:szCs w:val="32"/>
        </w:rPr>
        <w:t>㎡、运动场主席台及看台1406㎡和值班室108㎡；对现有实验楼、两座食堂及浴室进行全面改造（食堂浴室-改造为多功能室）、供配电及各类室外综合管线工程等。</w:t>
      </w:r>
      <w:r>
        <w:rPr>
          <w:rFonts w:ascii="仿宋_GB2312" w:hAnsi="仿宋_GB2312" w:eastAsia="仿宋_GB2312" w:cs="仿宋_GB2312"/>
          <w:sz w:val="32"/>
          <w:szCs w:val="32"/>
        </w:rPr>
        <w:t>项目建成后可满足2100人的义务教学需求。项目总投资4000.00万元，其中环保投资50.00万元，占总投资的1.25%。</w:t>
      </w:r>
    </w:p>
    <w:p>
      <w:pPr>
        <w:pStyle w:val="2"/>
        <w:numPr>
          <w:ilvl w:val="0"/>
          <w:numId w:val="1"/>
        </w:numPr>
        <w:spacing w:line="480" w:lineRule="exact"/>
        <w:ind w:firstLine="640" w:firstLineChars="200"/>
        <w:rPr>
          <w:rFonts w:hint="default" w:ascii="仿宋_GB2312" w:hAnsi="仿宋_GB2312" w:eastAsia="仿宋_GB2312" w:cs="仿宋_GB2312"/>
          <w:sz w:val="32"/>
          <w:szCs w:val="32"/>
        </w:rPr>
      </w:pPr>
      <w:r>
        <w:rPr>
          <w:rFonts w:ascii="仿宋_GB2312" w:hAnsi="仿宋_GB2312" w:eastAsia="仿宋_GB2312" w:cs="仿宋_GB2312"/>
          <w:sz w:val="32"/>
          <w:szCs w:val="32"/>
        </w:rPr>
        <w:t>该项目为含有实验楼的学校建设项目，</w:t>
      </w:r>
      <w:r>
        <w:rPr>
          <w:rFonts w:ascii="仿宋_GB2312" w:hAnsi="仿宋_GB2312" w:eastAsia="仿宋_GB2312" w:cs="仿宋_GB2312"/>
          <w:bCs/>
          <w:sz w:val="32"/>
          <w:szCs w:val="32"/>
        </w:rPr>
        <w:t>我局原则同意报告表的结论。项目经投资主管部门依法审批后，你单位须严格按照报告表所列建设项目的性质、规模、地点、环保措施要求实施项目建设。</w:t>
      </w:r>
    </w:p>
    <w:p>
      <w:pPr>
        <w:adjustRightInd w:val="0"/>
        <w:snapToGrid w:val="0"/>
        <w:spacing w:line="480" w:lineRule="exact"/>
        <w:ind w:firstLine="640" w:firstLineChars="200"/>
        <w:rPr>
          <w:rFonts w:ascii="仿宋_GB2312" w:hAnsi="仿宋_GB2312" w:cs="仿宋_GB2312"/>
          <w:bCs/>
          <w:kern w:val="0"/>
        </w:rPr>
      </w:pPr>
      <w:r>
        <w:rPr>
          <w:rFonts w:hint="eastAsia" w:ascii="仿宋_GB2312" w:hAnsi="仿宋_GB2312" w:cs="仿宋_GB2312"/>
          <w:bCs/>
          <w:kern w:val="0"/>
        </w:rPr>
        <w:t>三、你单位在项目建设和运营中，应严格执行有关环境质量标准和污染物排放标准，认真、全面落实报告表提出的各项环保措施要求，确保污染物达标排放和各环境敏感点满足相应功能要求。重点做好以下工作：</w:t>
      </w:r>
    </w:p>
    <w:p>
      <w:pPr>
        <w:adjustRightInd w:val="0"/>
        <w:snapToGrid w:val="0"/>
        <w:spacing w:line="480" w:lineRule="exact"/>
        <w:ind w:firstLine="640" w:firstLineChars="200"/>
        <w:rPr>
          <w:rFonts w:ascii="仿宋_GB2312" w:hAnsi="仿宋_GB2312" w:cs="仿宋_GB2312"/>
        </w:rPr>
      </w:pPr>
      <w:r>
        <w:rPr>
          <w:rFonts w:hint="eastAsia" w:ascii="仿宋_GB2312" w:hAnsi="仿宋_GB2312" w:cs="仿宋_GB2312"/>
        </w:rPr>
        <w:t>（一）</w:t>
      </w:r>
      <w:r>
        <w:rPr>
          <w:rFonts w:hint="eastAsia" w:ascii="仿宋_GB2312" w:hAnsi="仿宋_GB2312" w:cs="仿宋_GB2312"/>
          <w:bCs/>
          <w:kern w:val="0"/>
        </w:rPr>
        <w:t>认真落实施工期环境保护措施。严格按有关规定制定文明施工方案，合理选择装卸、堆放等,采取有效措施控制施工过程产生的废气，确保</w:t>
      </w:r>
      <w:r>
        <w:rPr>
          <w:rFonts w:hint="eastAsia" w:ascii="仿宋_GB2312" w:hAnsi="仿宋_GB2312" w:cs="仿宋_GB2312"/>
        </w:rPr>
        <w:t>废气排放满足《大气污染物综合排放标准》(GB16297-1996)相应限值要求。施工期生活污水排入地下管网。施工过程中选有低噪声施工机械和施工工艺，合理安排施工作业时间，严格遵守《建筑施工场界环境噪声排放标准》(GB12523-2011)中规定要求。施工产生的弃方禁止乱堆乱放，集中存放后统一处置。</w:t>
      </w:r>
    </w:p>
    <w:p>
      <w:pPr>
        <w:spacing w:line="480" w:lineRule="exact"/>
        <w:ind w:firstLine="640" w:firstLineChars="200"/>
        <w:rPr>
          <w:rFonts w:ascii="仿宋_GB2312" w:hAnsi="仿宋_GB2312" w:cs="仿宋_GB2312"/>
        </w:rPr>
      </w:pPr>
      <w:r>
        <w:rPr>
          <w:rFonts w:hint="eastAsia" w:ascii="仿宋_GB2312" w:hAnsi="仿宋_GB2312" w:cs="仿宋_GB2312"/>
        </w:rPr>
        <w:t>（二）严格落实水污染防治措施。该项目运营期废水主要为生活污水、食堂废水和实验室用水。食堂废水经隔油池处理后，与生活污水进入化粪池进一步预处理，达到《污水综合排放标准》（8978-1996）三级标准后，排入市政排水管网；实验室废水经过酸碱综合反应等处理后，达到《污水综合排放标准》（8978-1996）三级标准、《医疗机构水污染物排放标准》（GB18466-2005）表2中的预处理标准限值后，汇同其他生活污水排入化粪池，最终由阿拉尔污水处理厂处理。</w:t>
      </w:r>
    </w:p>
    <w:p>
      <w:pPr>
        <w:pStyle w:val="3"/>
        <w:adjustRightInd w:val="0"/>
        <w:snapToGrid w:val="0"/>
        <w:spacing w:line="48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（三）</w:t>
      </w:r>
      <w:r>
        <w:rPr>
          <w:rFonts w:hint="eastAsia" w:ascii="仿宋_GB2312" w:hAnsi="仿宋_GB2312" w:eastAsia="仿宋_GB2312" w:cs="仿宋_GB2312"/>
          <w:snapToGrid w:val="0"/>
          <w:sz w:val="32"/>
          <w:szCs w:val="32"/>
        </w:rPr>
        <w:t>严格落实大气污染防治措施。</w:t>
      </w:r>
      <w:r>
        <w:rPr>
          <w:rFonts w:hint="eastAsia" w:ascii="仿宋_GB2312" w:hAnsi="仿宋_GB2312" w:eastAsia="仿宋_GB2312" w:cs="仿宋_GB2312"/>
          <w:sz w:val="32"/>
          <w:szCs w:val="32"/>
        </w:rPr>
        <w:t>该</w:t>
      </w:r>
      <w:r>
        <w:rPr>
          <w:rFonts w:hint="eastAsia" w:ascii="仿宋_GB2312" w:hAnsi="仿宋_GB2312" w:eastAsia="仿宋_GB2312" w:cs="仿宋_GB2312"/>
          <w:bCs/>
          <w:sz w:val="32"/>
          <w:szCs w:val="32"/>
        </w:rPr>
        <w:t>项目</w:t>
      </w:r>
      <w:r>
        <w:rPr>
          <w:rFonts w:hint="eastAsia" w:ascii="仿宋_GB2312" w:hAnsi="仿宋_GB2312" w:eastAsia="仿宋_GB2312" w:cs="仿宋_GB2312"/>
          <w:sz w:val="32"/>
          <w:szCs w:val="32"/>
        </w:rPr>
        <w:t>主要废气为实验废气、食堂油烟。实验废气</w:t>
      </w:r>
      <w:r>
        <w:rPr>
          <w:rFonts w:hint="eastAsia" w:ascii="仿宋_GB2312" w:hAnsi="仿宋_GB2312" w:eastAsia="仿宋_GB2312" w:cs="仿宋_GB2312"/>
          <w:bCs/>
          <w:snapToGrid w:val="0"/>
          <w:color w:val="000000"/>
          <w:sz w:val="32"/>
          <w:szCs w:val="32"/>
        </w:rPr>
        <w:t>经通风橱及排风扇等机械通风设备，将各种废气收集后输送到楼顶排放，确保</w:t>
      </w:r>
      <w:r>
        <w:rPr>
          <w:rFonts w:hint="eastAsia" w:ascii="仿宋_GB2312" w:hAnsi="仿宋_GB2312" w:eastAsia="仿宋_GB2312" w:cs="仿宋_GB2312"/>
          <w:kern w:val="0"/>
          <w:sz w:val="32"/>
          <w:szCs w:val="32"/>
        </w:rPr>
        <w:t>满足《大气污染物综合排放标准》(GB16297-1996)表2中无组织排放监控浓度限值</w:t>
      </w:r>
      <w:r>
        <w:rPr>
          <w:rFonts w:hint="eastAsia" w:ascii="仿宋_GB2312" w:hAnsi="仿宋_GB2312" w:eastAsia="仿宋_GB2312" w:cs="仿宋_GB2312"/>
          <w:bCs/>
          <w:snapToGrid w:val="0"/>
          <w:color w:val="000000"/>
          <w:sz w:val="32"/>
          <w:szCs w:val="32"/>
        </w:rPr>
        <w:t>；食堂油烟经过食堂油烟净化器处理后排放，确保</w:t>
      </w:r>
      <w:r>
        <w:rPr>
          <w:rFonts w:hint="eastAsia" w:ascii="仿宋_GB2312" w:hAnsi="仿宋_GB2312" w:eastAsia="仿宋_GB2312" w:cs="仿宋_GB2312"/>
          <w:color w:val="000000"/>
          <w:sz w:val="32"/>
          <w:szCs w:val="32"/>
        </w:rPr>
        <w:t>不对学生及教职工生产、生活造成影响</w:t>
      </w:r>
      <w:r>
        <w:rPr>
          <w:rFonts w:hint="eastAsia" w:ascii="仿宋_GB2312" w:hAnsi="仿宋_GB2312" w:eastAsia="仿宋_GB2312" w:cs="仿宋_GB2312"/>
          <w:sz w:val="32"/>
          <w:szCs w:val="32"/>
        </w:rPr>
        <w:t>。</w:t>
      </w:r>
    </w:p>
    <w:p>
      <w:pPr>
        <w:adjustRightInd w:val="0"/>
        <w:snapToGrid w:val="0"/>
        <w:spacing w:line="480" w:lineRule="exact"/>
        <w:ind w:firstLine="640" w:firstLineChars="200"/>
        <w:rPr>
          <w:rFonts w:ascii="仿宋_GB2312" w:hAnsi="仿宋_GB2312" w:cs="仿宋_GB2312"/>
        </w:rPr>
      </w:pPr>
      <w:r>
        <w:rPr>
          <w:rFonts w:hint="eastAsia" w:ascii="仿宋_GB2312" w:hAnsi="仿宋_GB2312" w:cs="仿宋_GB2312"/>
        </w:rPr>
        <w:t>（四）</w:t>
      </w:r>
      <w:r>
        <w:rPr>
          <w:rFonts w:hint="eastAsia" w:ascii="仿宋_GB2312" w:hAnsi="仿宋_GB2312" w:cs="仿宋_GB2312"/>
          <w:snapToGrid w:val="0"/>
        </w:rPr>
        <w:t>严格落实噪音污染防治措施。</w:t>
      </w:r>
      <w:r>
        <w:rPr>
          <w:rFonts w:hint="eastAsia" w:ascii="仿宋_GB2312" w:hAnsi="仿宋_GB2312" w:cs="仿宋_GB2312"/>
        </w:rPr>
        <w:t>该项目运营期噪声主要来源于教学实验活动噪声、实验室排风机以及变压器等设备。通过</w:t>
      </w:r>
      <w:r>
        <w:rPr>
          <w:rFonts w:hint="eastAsia" w:ascii="仿宋_GB2312" w:hAnsi="仿宋_GB2312" w:cs="仿宋_GB2312"/>
          <w:snapToGrid w:val="0"/>
        </w:rPr>
        <w:t>加强内部管理，控制人员活动噪声，</w:t>
      </w:r>
      <w:r>
        <w:rPr>
          <w:rFonts w:hint="eastAsia" w:ascii="仿宋_GB2312" w:hAnsi="仿宋_GB2312" w:cs="仿宋_GB2312"/>
        </w:rPr>
        <w:t>选用低噪声设备，采取消声、减震和隔声等措施，确保噪声满足</w:t>
      </w:r>
      <w:r>
        <w:rPr>
          <w:rFonts w:hint="eastAsia" w:ascii="仿宋_GB2312" w:hAnsi="仿宋_GB2312" w:cs="仿宋_GB2312"/>
          <w:snapToGrid w:val="0"/>
        </w:rPr>
        <w:t>《</w:t>
      </w:r>
      <w:r>
        <w:rPr>
          <w:rFonts w:hint="eastAsia" w:ascii="仿宋_GB2312" w:hAnsi="仿宋_GB2312" w:cs="仿宋_GB2312"/>
          <w:spacing w:val="-8"/>
        </w:rPr>
        <w:t>社会生活环境噪声排放标准》（GB22337-2008）</w:t>
      </w:r>
      <w:r>
        <w:rPr>
          <w:rFonts w:hint="eastAsia" w:ascii="仿宋_GB2312" w:hAnsi="仿宋_GB2312" w:cs="仿宋_GB2312"/>
          <w:snapToGrid w:val="0"/>
        </w:rPr>
        <w:t>2类标准限值</w:t>
      </w:r>
      <w:r>
        <w:rPr>
          <w:rFonts w:hint="eastAsia" w:ascii="仿宋_GB2312" w:hAnsi="仿宋_GB2312" w:cs="仿宋_GB2312"/>
        </w:rPr>
        <w:t>(昼间：60dB(A)，夜间50dB(A))。</w:t>
      </w:r>
    </w:p>
    <w:p>
      <w:pPr>
        <w:spacing w:line="480" w:lineRule="exact"/>
        <w:ind w:firstLine="640" w:firstLineChars="200"/>
        <w:rPr>
          <w:rFonts w:ascii="仿宋_GB2312" w:hAnsi="仿宋_GB2312" w:cs="仿宋_GB2312"/>
          <w:snapToGrid w:val="0"/>
          <w:color w:val="FF0000"/>
        </w:rPr>
      </w:pPr>
      <w:r>
        <w:rPr>
          <w:rFonts w:hint="eastAsia" w:ascii="仿宋_GB2312" w:hAnsi="仿宋_GB2312" w:cs="仿宋_GB2312"/>
        </w:rPr>
        <w:t>（五）严格落实固体废物分类处置和分类利用措施。该项目固体废物主要为：生活垃圾、废油脂、餐厨垃圾、化粪池污泥、实验室固废等。生活垃圾、餐厨垃圾、化粪池污泥分类收集后清运至环卫部门指点地点统一处理；废油脂集中收集后，委托有资质的餐饮废油处理单位处理；实验室固废按照《危险废物贮存污染控制标准》（GB18597-2001）（2013年修订）、《医疗机构污泥控制标准》中相关标准进行暂存，达到运输要求后，交由具有危险固废处理资质的单位处理。危险废物暂存间的设置及设计必须符合《危险废物贮存污染控制标准》（GB18597-2001）及2013年修改单中的相关标准要求。</w:t>
      </w:r>
    </w:p>
    <w:p>
      <w:pPr>
        <w:pStyle w:val="2"/>
        <w:spacing w:line="480" w:lineRule="exact"/>
        <w:ind w:firstLine="640" w:firstLineChars="200"/>
        <w:rPr>
          <w:rFonts w:hint="default" w:ascii="仿宋_GB2312" w:hAnsi="仿宋_GB2312" w:eastAsia="仿宋_GB2312" w:cs="仿宋_GB2312"/>
          <w:color w:val="auto"/>
          <w:kern w:val="2"/>
          <w:sz w:val="32"/>
          <w:szCs w:val="32"/>
        </w:rPr>
      </w:pPr>
      <w:r>
        <w:rPr>
          <w:rFonts w:ascii="仿宋_GB2312" w:hAnsi="仿宋_GB2312" w:eastAsia="仿宋_GB2312" w:cs="仿宋_GB2312"/>
          <w:color w:val="auto"/>
          <w:kern w:val="2"/>
          <w:sz w:val="32"/>
          <w:szCs w:val="32"/>
        </w:rPr>
        <w:t>（六）通过加强管理、采取有效的防范措施，加强对全体员工防范事故风险能力的培训，制定事故应急预案等措施，落实好危险化学品管理相关的要求，建立安全防护措施、危废运输防范措施确保不发生环境污染事故。</w:t>
      </w:r>
    </w:p>
    <w:p>
      <w:pPr>
        <w:adjustRightInd w:val="0"/>
        <w:snapToGrid w:val="0"/>
        <w:spacing w:line="480" w:lineRule="exact"/>
        <w:ind w:firstLine="630"/>
        <w:rPr>
          <w:rFonts w:ascii="仿宋_GB2312"/>
        </w:rPr>
      </w:pPr>
      <w:r>
        <w:rPr>
          <w:rFonts w:hint="eastAsia" w:ascii="仿宋_GB2312"/>
        </w:rPr>
        <w:t>四、你单位须严格执行环保“三同时”制度，建设项目竣工后，建设单位应当按照国务院环境保护行政主管部门规定的标准和程序，对配套建设的环境保护设施进行验收，编制验收报告，验收报告编制完成后5个工作日内，在相关网站公开验收报告，公示期限不得少于20个工作日，并向我局报送相关信息；验收报告公示期满后5个工作日内，建设单位应当登录“全国建设项目竣工环境保护验收信息平台”，填报建设项目基本信息、环境保护设施验收情况等相关信息。</w:t>
      </w:r>
    </w:p>
    <w:p>
      <w:pPr>
        <w:adjustRightInd w:val="0"/>
        <w:snapToGrid w:val="0"/>
        <w:spacing w:line="480" w:lineRule="exact"/>
        <w:ind w:firstLine="630"/>
        <w:rPr>
          <w:rFonts w:ascii="仿宋_GB2312" w:hAnsi="仿宋_GB2312" w:cs="仿宋_GB2312"/>
        </w:rPr>
      </w:pPr>
      <w:r>
        <w:rPr>
          <w:rFonts w:hint="eastAsia" w:ascii="仿宋_GB2312" w:hAnsi="仿宋_GB2312" w:cs="仿宋_GB2312"/>
        </w:rPr>
        <w:t>五、根据《中华人民共和国环境影响评价法》等相关环保法律法规的规定，若项目性质、规模、地点、采用的防治污染、防止生态破坏的措施等发生重大变化的，应依法重新报批环评文件。自批准之日起5年内未开工建设的，其环评文件应当报我局重新审核。在项目建设、运行过程中产生不符合经审批的环评文件情形的，应依法重新办理相关环保手续。</w:t>
      </w:r>
    </w:p>
    <w:p>
      <w:pPr>
        <w:adjustRightInd w:val="0"/>
        <w:snapToGrid w:val="0"/>
        <w:spacing w:line="480" w:lineRule="exact"/>
        <w:ind w:firstLine="640" w:firstLineChars="200"/>
        <w:rPr>
          <w:rFonts w:ascii="仿宋_GB2312"/>
          <w:kern w:val="0"/>
        </w:rPr>
      </w:pPr>
      <w:r>
        <w:rPr>
          <w:rFonts w:hint="eastAsia" w:ascii="仿宋_GB2312" w:hAnsi="仿宋_GB2312" w:cs="仿宋_GB2312"/>
        </w:rPr>
        <w:t>六、师市教育局根据《关于印发&lt;第一师阿拉尔市党政及其工作部门环境保护工作职责暂行规定&gt;的通知》（师市党办发〔2017〕47号）要求，做好该项目环境监管工作,</w:t>
      </w:r>
      <w:r>
        <w:rPr>
          <w:rFonts w:hint="eastAsia" w:ascii="仿宋_GB2312"/>
        </w:rPr>
        <w:t>师市生态环境保护综合行政执法支队做好该项目施工期“三同时”监督检查和日常监督管理工作。</w:t>
      </w:r>
    </w:p>
    <w:p>
      <w:pPr>
        <w:pStyle w:val="2"/>
        <w:adjustRightInd w:val="0"/>
        <w:snapToGrid w:val="0"/>
        <w:spacing w:line="480" w:lineRule="exact"/>
        <w:jc w:val="both"/>
        <w:rPr>
          <w:rFonts w:hint="default" w:ascii="仿宋_GB2312" w:eastAsia="仿宋_GB2312"/>
          <w:color w:val="auto"/>
          <w:sz w:val="32"/>
          <w:szCs w:val="32"/>
        </w:rPr>
      </w:pPr>
    </w:p>
    <w:p>
      <w:pPr>
        <w:adjustRightInd w:val="0"/>
        <w:snapToGrid w:val="0"/>
        <w:spacing w:line="480" w:lineRule="exact"/>
        <w:ind w:firstLine="640" w:firstLineChars="200"/>
        <w:rPr>
          <w:rFonts w:ascii="仿宋_GB2312" w:hAnsi="仿宋_GB2312" w:cs="仿宋_GB2312"/>
          <w:kern w:val="0"/>
        </w:rPr>
      </w:pPr>
    </w:p>
    <w:p>
      <w:pPr>
        <w:spacing w:line="480" w:lineRule="exact"/>
        <w:ind w:right="640"/>
        <w:jc w:val="right"/>
        <w:rPr>
          <w:rFonts w:ascii="仿宋_GB2312"/>
        </w:rPr>
      </w:pPr>
      <w:r>
        <w:rPr>
          <w:rFonts w:hint="eastAsia" w:ascii="仿宋_GB2312"/>
        </w:rPr>
        <w:t>第一师阿拉尔市生态环境局</w:t>
      </w:r>
    </w:p>
    <w:p>
      <w:pPr>
        <w:widowControl/>
        <w:adjustRightInd w:val="0"/>
        <w:snapToGrid w:val="0"/>
        <w:spacing w:line="480" w:lineRule="exact"/>
        <w:ind w:right="608"/>
        <w:jc w:val="center"/>
        <w:rPr>
          <w:rFonts w:ascii="仿宋_GB2312" w:hAnsi="仿宋_GB2312" w:cs="仿宋_GB2312"/>
          <w:kern w:val="0"/>
        </w:rPr>
      </w:pPr>
      <w:r>
        <w:rPr>
          <w:rFonts w:hint="eastAsia" w:ascii="仿宋_GB2312" w:hAnsi="仿宋_GB2312" w:cs="仿宋_GB2312"/>
          <w:kern w:val="0"/>
        </w:rPr>
        <w:t xml:space="preserve">                      2020年12月14日</w:t>
      </w:r>
    </w:p>
    <w:p>
      <w:pPr>
        <w:pStyle w:val="2"/>
        <w:rPr>
          <w:rFonts w:hint="default" w:ascii="仿宋_GB2312" w:hAnsi="仿宋_GB2312" w:cs="仿宋_GB2312"/>
        </w:rPr>
      </w:pPr>
    </w:p>
    <w:p>
      <w:pPr>
        <w:pStyle w:val="2"/>
        <w:rPr>
          <w:rFonts w:ascii="仿宋_GB2312" w:hAnsi="仿宋_GB2312" w:cs="仿宋_GB2312"/>
        </w:rPr>
      </w:pPr>
    </w:p>
    <w:p>
      <w:pPr>
        <w:pStyle w:val="2"/>
        <w:rPr>
          <w:rFonts w:ascii="仿宋_GB2312" w:hAnsi="仿宋_GB2312" w:cs="仿宋_GB2312"/>
        </w:rPr>
      </w:pPr>
    </w:p>
    <w:p>
      <w:pPr>
        <w:pStyle w:val="2"/>
        <w:rPr>
          <w:rFonts w:ascii="仿宋_GB2312" w:hAnsi="仿宋_GB2312" w:cs="仿宋_GB2312"/>
        </w:rPr>
      </w:pPr>
    </w:p>
    <w:p>
      <w:pPr>
        <w:pStyle w:val="2"/>
        <w:rPr>
          <w:rFonts w:ascii="仿宋_GB2312" w:hAnsi="仿宋_GB2312" w:cs="仿宋_GB2312"/>
        </w:rPr>
      </w:pPr>
    </w:p>
    <w:p>
      <w:pPr>
        <w:pStyle w:val="2"/>
        <w:rPr>
          <w:rFonts w:hint="default" w:ascii="仿宋_GB2312" w:hAnsi="仿宋_GB2312" w:cs="仿宋_GB2312"/>
        </w:rPr>
      </w:pPr>
    </w:p>
    <w:p>
      <w:pPr>
        <w:spacing w:line="520" w:lineRule="exact"/>
        <w:ind w:right="1120" w:firstLine="2520" w:firstLineChars="900"/>
      </w:pPr>
      <w:r>
        <w:rPr>
          <w:sz w:val="28"/>
          <w:szCs w:val="28"/>
        </w:rPr>
        <w:pict>
          <v:line id="_x0000_s1026" o:spid="_x0000_s1026" o:spt="20" style="position:absolute;left:0pt;margin-left:-0.5pt;margin-top:21.25pt;height:0pt;width:423pt;z-index:251666432;mso-width-relative:page;mso-height-relative:page;" coordsize="21600,21600" o:gfxdata="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CK5R8/WAAAACAEAAA8AAAAAAAAAAQAgAAAAIgAAAGRycy9kb3ducmV2LnhtbFBLAQIU&#10;ABQAAAAIAIdO4kCPWAPu9QEAAOQDAAAOAAAAAAAAAAEAIAAAACUBAABkcnMvZTJvRG9jLnhtbFBL&#10;BQYAAAAABgAGAFkBAACMBQAAAAA=&#10;">
            <v:path arrowok="t"/>
            <v:fill focussize="0,0"/>
            <v:stroke/>
            <v:imagedata o:title=""/>
            <o:lock v:ext="edit"/>
          </v:line>
        </w:pict>
      </w:r>
    </w:p>
    <w:p>
      <w:pPr>
        <w:topLinePunct/>
        <w:adjustRightInd w:val="0"/>
        <w:snapToGrid w:val="0"/>
        <w:spacing w:line="360" w:lineRule="auto"/>
        <w:ind w:left="698" w:leftChars="87" w:hanging="420" w:hangingChars="150"/>
        <w:rPr>
          <w:rFonts w:ascii="仿宋_GB2312" w:hAnsi="仿宋_GB2312" w:cs="仿宋_GB2312"/>
          <w:sz w:val="28"/>
          <w:szCs w:val="28"/>
        </w:rPr>
      </w:pPr>
      <w:r>
        <w:rPr>
          <w:rFonts w:hint="eastAsia" w:ascii="仿宋_GB2312" w:hAnsi="仿宋_GB2312" w:cs="仿宋_GB2312"/>
          <w:sz w:val="28"/>
          <w:szCs w:val="28"/>
        </w:rPr>
        <w:t>抄送：师市相关领导，发改委、工信局、自然资源和规划局、教育</w:t>
      </w:r>
    </w:p>
    <w:p>
      <w:pPr>
        <w:topLinePunct/>
        <w:adjustRightInd w:val="0"/>
        <w:snapToGrid w:val="0"/>
        <w:spacing w:line="360" w:lineRule="auto"/>
        <w:rPr>
          <w:rFonts w:ascii="仿宋_GB2312" w:hAnsi="仿宋_GB2312" w:cs="仿宋_GB2312"/>
          <w:sz w:val="28"/>
          <w:szCs w:val="28"/>
        </w:rPr>
      </w:pPr>
      <w:r>
        <w:rPr>
          <w:rFonts w:hint="eastAsia" w:ascii="仿宋_GB2312" w:hAnsi="仿宋_GB2312" w:cs="仿宋_GB2312"/>
          <w:sz w:val="28"/>
          <w:szCs w:val="28"/>
        </w:rPr>
        <w:t>局、生态环境保护综合行政执法支队、新疆创禹水利环境科技有限</w:t>
      </w:r>
    </w:p>
    <w:p>
      <w:pPr>
        <w:topLinePunct/>
        <w:adjustRightInd w:val="0"/>
        <w:snapToGrid w:val="0"/>
        <w:spacing w:line="360" w:lineRule="auto"/>
        <w:rPr>
          <w:rFonts w:ascii="仿宋_GB2312" w:hAnsi="仿宋_GB2312" w:cs="仿宋_GB2312"/>
          <w:sz w:val="28"/>
          <w:szCs w:val="28"/>
        </w:rPr>
      </w:pPr>
      <w:r>
        <w:rPr>
          <w:rFonts w:ascii="仿宋_GB2312" w:hAnsi="仿宋_GB2312" w:cs="仿宋_GB2312"/>
          <w:sz w:val="28"/>
          <w:szCs w:val="28"/>
        </w:rPr>
        <w:pict>
          <v:line id="_x0000_s1028" o:spid="_x0000_s1028" o:spt="20" style="position:absolute;left:0pt;margin-left:1pt;margin-top:25.9pt;height:0pt;width:423pt;z-index:251663360;mso-width-relative:page;mso-height-relative:page;" coordsize="21600,21600" o:gfxdata="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Aa0/5bUAAAABwEAAA8AAAAAAAAAAQAgAAAAIgAAAGRycy9kb3ducmV2LnhtbFBL&#10;AQIUABQAAAAIAIdO4kCve2Px+gEAAPIDAAAOAAAAAAAAAAEAIAAAACMBAABkcnMvZTJvRG9jLnht&#10;bFBLBQYAAAAABgAGAFkBAACPBQAAAAA=&#10;">
            <v:path arrowok="t"/>
            <v:fill focussize="0,0"/>
            <v:stroke/>
            <v:imagedata o:title=""/>
            <o:lock v:ext="edit"/>
          </v:line>
        </w:pict>
      </w:r>
      <w:r>
        <w:rPr>
          <w:rFonts w:hint="eastAsia" w:ascii="仿宋_GB2312" w:hAnsi="仿宋_GB2312" w:cs="仿宋_GB2312"/>
          <w:sz w:val="28"/>
          <w:szCs w:val="28"/>
        </w:rPr>
        <w:t>公司。</w:t>
      </w:r>
    </w:p>
    <w:p>
      <w:pPr>
        <w:ind w:firstLine="280" w:firstLineChars="100"/>
        <w:rPr>
          <w:rFonts w:ascii="仿宋_GB2312" w:hAnsi="仿宋_GB2312" w:cs="仿宋_GB2312"/>
          <w:sz w:val="28"/>
          <w:szCs w:val="28"/>
        </w:rPr>
      </w:pPr>
      <w:r>
        <w:rPr>
          <w:rFonts w:ascii="仿宋_GB2312" w:hAnsi="仿宋_GB2312" w:cs="仿宋_GB2312"/>
          <w:sz w:val="28"/>
          <w:szCs w:val="28"/>
        </w:rPr>
        <w:pict>
          <v:line id="_x0000_s1027" o:spid="_x0000_s1027" o:spt="20" style="position:absolute;left:0pt;margin-left:0pt;margin-top:33.4pt;height:0pt;width:423pt;z-index:251667456;mso-width-relative:page;mso-height-relative:page;" coordsize="21600,21600" o:gfxdata="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DkeimDTAAAABgEAAA8AAAAAAAAAAQAgAAAAIgAAAGRycy9kb3ducmV2LnhtbFBLAQIUABQA&#10;AAAIAIdO4kCeM2eD9QEAAOQDAAAOAAAAAAAAAAEAIAAAACIBAABkcnMvZTJvRG9jLnhtbFBLBQYA&#10;AAAABgAGAFkBAACJBQAAAAA=&#10;">
            <v:path arrowok="t"/>
            <v:fill focussize="0,0"/>
            <v:stroke/>
            <v:imagedata o:title=""/>
            <o:lock v:ext="edit"/>
          </v:line>
        </w:pict>
      </w:r>
      <w:r>
        <w:rPr>
          <w:rFonts w:hint="eastAsia" w:ascii="仿宋_GB2312" w:hAnsi="仿宋_GB2312" w:cs="仿宋_GB2312"/>
          <w:sz w:val="28"/>
          <w:szCs w:val="28"/>
        </w:rPr>
        <w:t>第一师阿拉尔市生态环境局             2020年12月14日印发</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pict>
        <v:shape id="_x0000_s2049" o:spid="_x0000_s2049" o:spt="202" type="#_x0000_t202" style="position:absolute;left:0pt;margin-top:0pt;height:144pt;width:144pt;mso-position-horizontal:right;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joinstyle="miter"/>
          <v:imagedata o:title=""/>
          <o:lock v:ext="edit"/>
          <v:textbox inset="0mm,0mm,0mm,0mm" style="mso-fit-shape-to-text:t;">
            <w:txbxContent>
              <w:p>
                <w:pPr>
                  <w:pStyle w:val="4"/>
                </w:pPr>
                <w:r>
                  <w:rPr>
                    <w:rFonts w:hint="eastAsia"/>
                  </w:rPr>
                  <w:t>—</w:t>
                </w: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r>
                  <w:rPr>
                    <w:rFonts w:hint="eastAsia"/>
                  </w:rPr>
                  <w:t xml:space="preserve"> —</w:t>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767AEA"/>
    <w:multiLevelType w:val="singleLevel"/>
    <w:tmpl w:val="11767AEA"/>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5A306A29"/>
    <w:rsid w:val="0002193C"/>
    <w:rsid w:val="00E15F7E"/>
    <w:rsid w:val="06811744"/>
    <w:rsid w:val="0721293F"/>
    <w:rsid w:val="085C6E2E"/>
    <w:rsid w:val="0B151348"/>
    <w:rsid w:val="16E3520F"/>
    <w:rsid w:val="1F760BAF"/>
    <w:rsid w:val="23CC573C"/>
    <w:rsid w:val="24704FD5"/>
    <w:rsid w:val="2D462C0D"/>
    <w:rsid w:val="35394545"/>
    <w:rsid w:val="3A895736"/>
    <w:rsid w:val="3AA30EE2"/>
    <w:rsid w:val="3C275066"/>
    <w:rsid w:val="3D916F98"/>
    <w:rsid w:val="458441AA"/>
    <w:rsid w:val="485F4CFB"/>
    <w:rsid w:val="4A9A6681"/>
    <w:rsid w:val="4F660C21"/>
    <w:rsid w:val="50540748"/>
    <w:rsid w:val="56501629"/>
    <w:rsid w:val="57F21763"/>
    <w:rsid w:val="5A306A29"/>
    <w:rsid w:val="5EF96034"/>
    <w:rsid w:val="5FEE7A8B"/>
    <w:rsid w:val="613A4F02"/>
    <w:rsid w:val="64346577"/>
    <w:rsid w:val="68EB5375"/>
    <w:rsid w:val="6E0C4889"/>
    <w:rsid w:val="77F661E3"/>
    <w:rsid w:val="7CE549B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Default"/>
    <w:basedOn w:val="1"/>
    <w:qFormat/>
    <w:uiPriority w:val="0"/>
    <w:pPr>
      <w:autoSpaceDE w:val="0"/>
      <w:autoSpaceDN w:val="0"/>
      <w:jc w:val="left"/>
    </w:pPr>
    <w:rPr>
      <w:rFonts w:hint="eastAsia" w:ascii="宋体" w:eastAsia="宋体"/>
      <w:color w:val="000000"/>
      <w:kern w:val="0"/>
      <w:sz w:val="24"/>
      <w:szCs w:val="24"/>
    </w:rPr>
  </w:style>
  <w:style w:type="paragraph" w:styleId="3">
    <w:name w:val="Normal Indent"/>
    <w:basedOn w:val="1"/>
    <w:qFormat/>
    <w:uiPriority w:val="0"/>
    <w:pPr>
      <w:spacing w:line="520" w:lineRule="exact"/>
      <w:ind w:firstLine="624"/>
    </w:pPr>
    <w:rPr>
      <w:rFonts w:eastAsia="宋体"/>
      <w:sz w:val="28"/>
      <w:szCs w:val="20"/>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thickThinSmallGap" w:color="auto" w:sz="24" w:space="1"/>
      </w:pBdr>
      <w:tabs>
        <w:tab w:val="center" w:pos="4153"/>
        <w:tab w:val="right" w:pos="8306"/>
      </w:tabs>
      <w:snapToGrid w:val="0"/>
      <w:jc w:val="center"/>
    </w:pPr>
    <w:rPr>
      <w:sz w:val="24"/>
      <w:szCs w:val="18"/>
    </w:rPr>
  </w:style>
  <w:style w:type="character" w:styleId="8">
    <w:name w:val="page number"/>
    <w:basedOn w:val="7"/>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26"/>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2151</Words>
  <Characters>266</Characters>
  <Lines>2</Lines>
  <Paragraphs>4</Paragraphs>
  <TotalTime>8</TotalTime>
  <ScaleCrop>false</ScaleCrop>
  <LinksUpToDate>false</LinksUpToDate>
  <CharactersWithSpaces>2413</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2020-12-09T02:47:00Z</dcterms:created>
  <dc:creator>Administrator</dc:creator>
  <cp:lastModifiedBy>Administrator</cp:lastModifiedBy>
  <cp:lastPrinted>2020-12-15T02:47:00Z</cp:lastPrinted>
  <dcterms:modified xsi:type="dcterms:W3CDTF">2020-12-16T02:10:06Z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