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613" w:rsidRDefault="00D15613">
      <w:pPr>
        <w:spacing w:line="560" w:lineRule="exact"/>
        <w:rPr>
          <w:rFonts w:ascii="黑体" w:eastAsia="黑体"/>
        </w:rPr>
      </w:pPr>
    </w:p>
    <w:p w:rsidR="00D15613" w:rsidRDefault="00D15613">
      <w:pPr>
        <w:pStyle w:val="a3"/>
      </w:pPr>
    </w:p>
    <w:p w:rsidR="00D15613" w:rsidRDefault="00D15613">
      <w:pPr>
        <w:spacing w:line="560" w:lineRule="exact"/>
      </w:pPr>
    </w:p>
    <w:p w:rsidR="00D15613" w:rsidRDefault="00D15613">
      <w:pPr>
        <w:pStyle w:val="Default"/>
        <w:rPr>
          <w:rFonts w:hint="default"/>
        </w:rPr>
      </w:pPr>
    </w:p>
    <w:p w:rsidR="00D15613" w:rsidRDefault="00D15613">
      <w:pPr>
        <w:spacing w:line="560" w:lineRule="exact"/>
        <w:rPr>
          <w:sz w:val="15"/>
          <w:szCs w:val="15"/>
        </w:rPr>
      </w:pPr>
    </w:p>
    <w:p w:rsidR="00D15613" w:rsidRDefault="00D15613">
      <w:pPr>
        <w:pStyle w:val="Default"/>
        <w:rPr>
          <w:rFonts w:hint="default"/>
        </w:rPr>
      </w:pPr>
    </w:p>
    <w:p w:rsidR="00D15613" w:rsidRDefault="007C6AF8">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8240;mso-width-relative:page;mso-height-relative:page"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strokecolor="white">
            <v:textbox>
              <w:txbxContent>
                <w:p w:rsidR="00D15613" w:rsidRDefault="002D2E81">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w:t>
                  </w:r>
                  <w:r>
                    <w:rPr>
                      <w:rFonts w:hint="eastAsia"/>
                    </w:rPr>
                    <w:t>〕</w:t>
                  </w:r>
                  <w:r w:rsidR="00444C3B">
                    <w:rPr>
                      <w:rFonts w:hint="eastAsia"/>
                    </w:rPr>
                    <w:t>68</w:t>
                  </w:r>
                  <w:r>
                    <w:rPr>
                      <w:rFonts w:hint="eastAsia"/>
                    </w:rPr>
                    <w:t>号</w:t>
                  </w:r>
                </w:p>
              </w:txbxContent>
            </v:textbox>
          </v:shape>
        </w:pict>
      </w:r>
    </w:p>
    <w:p w:rsidR="00D15613" w:rsidRDefault="00D15613">
      <w:pPr>
        <w:spacing w:line="560" w:lineRule="exact"/>
      </w:pPr>
    </w:p>
    <w:p w:rsidR="00D15613" w:rsidRDefault="00D15613">
      <w:pPr>
        <w:spacing w:line="560" w:lineRule="exact"/>
        <w:jc w:val="center"/>
      </w:pPr>
    </w:p>
    <w:p w:rsidR="000B227E" w:rsidRDefault="002D2E81">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关于阿拉尔市月提库尔天然气有限公司CNG/LNG加气加油、CNG母站</w:t>
      </w:r>
    </w:p>
    <w:p w:rsidR="00D15613" w:rsidRDefault="002D2E81">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建设项目环境影响报告表的批复</w:t>
      </w:r>
    </w:p>
    <w:p w:rsidR="00D15613" w:rsidRDefault="00D15613">
      <w:pPr>
        <w:adjustRightInd w:val="0"/>
        <w:snapToGrid w:val="0"/>
        <w:spacing w:line="560" w:lineRule="exact"/>
        <w:rPr>
          <w:rFonts w:ascii="仿宋_GB2312"/>
          <w:sz w:val="36"/>
          <w:szCs w:val="36"/>
        </w:rPr>
      </w:pPr>
    </w:p>
    <w:p w:rsidR="00D15613" w:rsidRDefault="002D2E81">
      <w:pPr>
        <w:adjustRightInd w:val="0"/>
        <w:snapToGrid w:val="0"/>
        <w:spacing w:line="560" w:lineRule="exact"/>
        <w:rPr>
          <w:rFonts w:ascii="仿宋_GB2312"/>
        </w:rPr>
      </w:pPr>
      <w:r>
        <w:rPr>
          <w:rFonts w:ascii="仿宋_GB2312" w:hint="eastAsia"/>
        </w:rPr>
        <w:t>阿拉尔市月提库尔天然气有限公司：</w:t>
      </w:r>
    </w:p>
    <w:p w:rsidR="00D15613" w:rsidRDefault="002D2E81" w:rsidP="00D15613">
      <w:pPr>
        <w:adjustRightInd w:val="0"/>
        <w:snapToGrid w:val="0"/>
        <w:spacing w:line="560" w:lineRule="exact"/>
        <w:ind w:firstLineChars="200" w:firstLine="609"/>
        <w:rPr>
          <w:rFonts w:ascii="仿宋_GB2312"/>
        </w:rPr>
      </w:pPr>
      <w:r>
        <w:rPr>
          <w:rFonts w:ascii="仿宋_GB2312" w:hint="eastAsia"/>
        </w:rPr>
        <w:t>你单位《关于送审阿拉尔市月提库尔天然气有限公司CNG/LNG加气加油、CNG母站建设项目环境影响报告表的请示》及《阿拉尔市月提库尔天然气有限公司CNG/LNG加气加油、CNG母站建设项目环境影响报告表》（以下简称“报告表”）收悉。经专家审查和研究，现批复如下：</w:t>
      </w:r>
    </w:p>
    <w:p w:rsidR="00D15613" w:rsidRDefault="002D2E81">
      <w:pPr>
        <w:adjustRightInd w:val="0"/>
        <w:snapToGrid w:val="0"/>
        <w:spacing w:line="560" w:lineRule="exact"/>
        <w:ind w:firstLine="630"/>
        <w:rPr>
          <w:rFonts w:ascii="仿宋_GB2312"/>
          <w:color w:val="000000"/>
        </w:rPr>
      </w:pPr>
      <w:r>
        <w:rPr>
          <w:rFonts w:ascii="仿宋_GB2312" w:hint="eastAsia"/>
          <w:color w:val="000000"/>
        </w:rPr>
        <w:t>一、该项目位于新疆阿拉尔市五团沙河镇G314国道以南、玉阿公路以西交汇处，中心地理坐标为：北纬41°22′25.38″，东经80°46′00.04″，项目区东侧、南侧均为果园，西侧为G314国道，北侧为S215省道。该项目</w:t>
      </w:r>
      <w:r>
        <w:rPr>
          <w:rFonts w:ascii="仿宋_GB2312" w:hint="eastAsia"/>
          <w:color w:val="000000"/>
          <w:lang w:val="zh-CN"/>
        </w:rPr>
        <w:t>总占地面积5230.58m</w:t>
      </w:r>
      <w:r>
        <w:rPr>
          <w:rFonts w:ascii="仿宋_GB2312" w:hint="eastAsia"/>
          <w:color w:val="000000"/>
          <w:vertAlign w:val="superscript"/>
          <w:lang w:val="zh-CN"/>
        </w:rPr>
        <w:t>2</w:t>
      </w:r>
      <w:r>
        <w:rPr>
          <w:rFonts w:ascii="仿宋_GB2312" w:hint="eastAsia"/>
          <w:color w:val="000000"/>
          <w:lang w:val="zh-CN"/>
        </w:rPr>
        <w:t>，总建筑面积</w:t>
      </w:r>
      <w:r>
        <w:rPr>
          <w:rFonts w:ascii="仿宋_GB2312" w:hint="eastAsia"/>
          <w:color w:val="000000"/>
          <w:lang w:val="zh-CN"/>
        </w:rPr>
        <w:lastRenderedPageBreak/>
        <w:t>1381.8m</w:t>
      </w:r>
      <w:r>
        <w:rPr>
          <w:rFonts w:ascii="仿宋_GB2312" w:hint="eastAsia"/>
          <w:color w:val="000000"/>
          <w:vertAlign w:val="superscript"/>
          <w:lang w:val="zh-CN"/>
        </w:rPr>
        <w:t>2</w:t>
      </w:r>
      <w:r>
        <w:rPr>
          <w:rFonts w:ascii="仿宋_GB2312" w:hint="eastAsia"/>
          <w:color w:val="000000"/>
        </w:rPr>
        <w:t>，主要建设内容为：新建二级加油加气充电站雨棚1座、商业用房1座、站房1座、30m</w:t>
      </w:r>
      <w:r>
        <w:rPr>
          <w:rFonts w:ascii="仿宋_GB2312" w:hint="eastAsia"/>
          <w:color w:val="000000"/>
          <w:vertAlign w:val="superscript"/>
        </w:rPr>
        <w:t>3</w:t>
      </w:r>
      <w:r>
        <w:rPr>
          <w:rFonts w:ascii="仿宋_GB2312" w:hint="eastAsia"/>
          <w:color w:val="000000"/>
        </w:rPr>
        <w:t>双层埋地油罐（柴油，汽油各2个）合计120m</w:t>
      </w:r>
      <w:r>
        <w:rPr>
          <w:rFonts w:ascii="仿宋_GB2312" w:hint="eastAsia"/>
          <w:color w:val="000000"/>
          <w:vertAlign w:val="superscript"/>
        </w:rPr>
        <w:t>3</w:t>
      </w:r>
      <w:r>
        <w:rPr>
          <w:rFonts w:ascii="仿宋_GB2312" w:hint="eastAsia"/>
          <w:color w:val="000000"/>
        </w:rPr>
        <w:t>,柴油罐折半计算后总容量共90m</w:t>
      </w:r>
      <w:r>
        <w:rPr>
          <w:rFonts w:ascii="仿宋_GB2312" w:hint="eastAsia"/>
          <w:color w:val="000000"/>
          <w:vertAlign w:val="superscript"/>
        </w:rPr>
        <w:t>3</w:t>
      </w:r>
      <w:r>
        <w:rPr>
          <w:rFonts w:ascii="仿宋_GB2312" w:hint="eastAsia"/>
          <w:color w:val="000000"/>
        </w:rPr>
        <w:t>。双枪双油品税控加油机3个，单枪LNG加气机，1个60m立式LNG储罐，LNG泵撬430L/min，充电桩8个等。该项目建成后年加油能力为4000吨，年加LNG天然气能力为1800万m</w:t>
      </w:r>
      <w:r>
        <w:rPr>
          <w:rFonts w:ascii="仿宋_GB2312" w:hint="eastAsia"/>
          <w:color w:val="000000"/>
          <w:vertAlign w:val="superscript"/>
        </w:rPr>
        <w:t>3</w:t>
      </w:r>
      <w:r>
        <w:rPr>
          <w:rFonts w:ascii="仿宋_GB2312" w:hint="eastAsia"/>
          <w:bCs/>
          <w:color w:val="000000"/>
        </w:rPr>
        <w:t>。</w:t>
      </w:r>
      <w:r>
        <w:rPr>
          <w:rFonts w:ascii="仿宋_GB2312" w:hint="eastAsia"/>
          <w:color w:val="000000"/>
        </w:rPr>
        <w:t>该项目总投资1500万元，其中环保投资是49.5万，占总投资的3.3%。</w:t>
      </w:r>
    </w:p>
    <w:p w:rsidR="00D15613" w:rsidRDefault="002D2E81">
      <w:pPr>
        <w:adjustRightInd w:val="0"/>
        <w:snapToGrid w:val="0"/>
        <w:spacing w:line="560" w:lineRule="exact"/>
        <w:ind w:firstLine="630"/>
        <w:rPr>
          <w:rFonts w:ascii="仿宋_GB2312" w:hAnsi="仿宋_GB2312" w:cs="仿宋_GB2312"/>
        </w:rPr>
      </w:pPr>
      <w:r>
        <w:rPr>
          <w:rFonts w:ascii="仿宋_GB2312" w:hAnsi="仿宋_GB2312" w:cs="仿宋_GB2312" w:hint="eastAsia"/>
        </w:rPr>
        <w:t>二、该项目属于加油、加气站建设项目，我局原则同意报告表的结论。项目经投资主管部门依法审批后，你单位须严格按照报告表所列建设项目的性质、规模、地点、环保对策措施实施项目建设。</w:t>
      </w:r>
    </w:p>
    <w:p w:rsidR="00D15613" w:rsidRDefault="002D2E81">
      <w:pPr>
        <w:adjustRightInd w:val="0"/>
        <w:snapToGrid w:val="0"/>
        <w:spacing w:line="560" w:lineRule="exact"/>
        <w:ind w:firstLine="630"/>
        <w:rPr>
          <w:rFonts w:ascii="仿宋_GB2312" w:hAnsi="仿宋_GB2312" w:cs="仿宋_GB2312"/>
        </w:rPr>
      </w:pPr>
      <w:r>
        <w:rPr>
          <w:rFonts w:ascii="仿宋_GB2312" w:hAnsi="仿宋_GB2312" w:cs="仿宋_GB2312" w:hint="eastAsia"/>
        </w:rPr>
        <w:t>三、你单位在建设运营中，应严格执行有关环境质量标准和污染物排放标准，认真、全面落实报告表提出的各项环保对策措施要求，确保污染物达标排放和各环境敏感点满足相应功能要求。重点做好以下工作：</w:t>
      </w:r>
    </w:p>
    <w:p w:rsidR="00D15613" w:rsidRDefault="002D2E81" w:rsidP="00D15613">
      <w:pPr>
        <w:adjustRightInd w:val="0"/>
        <w:snapToGrid w:val="0"/>
        <w:spacing w:line="560" w:lineRule="exact"/>
        <w:ind w:firstLineChars="200" w:firstLine="609"/>
        <w:rPr>
          <w:rFonts w:ascii="仿宋_GB2312"/>
        </w:rPr>
      </w:pPr>
      <w:r>
        <w:rPr>
          <w:rFonts w:ascii="仿宋_GB2312" w:hint="eastAsia"/>
        </w:rPr>
        <w:t>（一）认真落实施工期环境保护措施。做好施工期降噪、防尘措施及施工固废的清理工作，妥善处置施工废弃物、生活垃圾及生活污水。</w:t>
      </w:r>
    </w:p>
    <w:p w:rsidR="00D15613" w:rsidRDefault="002D2E81" w:rsidP="00D15613">
      <w:pPr>
        <w:adjustRightInd w:val="0"/>
        <w:snapToGrid w:val="0"/>
        <w:spacing w:line="560" w:lineRule="exact"/>
        <w:ind w:firstLineChars="200" w:firstLine="609"/>
        <w:rPr>
          <w:rFonts w:ascii="仿宋_GB2312" w:hAnsi="仿宋_GB2312" w:cs="仿宋_GB2312"/>
        </w:rPr>
      </w:pPr>
      <w:r>
        <w:rPr>
          <w:rFonts w:ascii="仿宋_GB2312" w:hint="eastAsia"/>
          <w:color w:val="000000"/>
        </w:rPr>
        <w:t>（二）</w:t>
      </w:r>
      <w:r>
        <w:rPr>
          <w:rFonts w:ascii="仿宋_GB2312" w:hAnsi="仿宋_GB2312" w:cs="仿宋_GB2312" w:hint="eastAsia"/>
        </w:rPr>
        <w:t>严格落实水污染防治措施。运营期生活污水暂存在本项目设置的30m</w:t>
      </w:r>
      <w:r>
        <w:rPr>
          <w:rFonts w:ascii="仿宋_GB2312" w:hAnsi="仿宋_GB2312" w:cs="仿宋_GB2312" w:hint="eastAsia"/>
          <w:vertAlign w:val="superscript"/>
        </w:rPr>
        <w:t>3</w:t>
      </w:r>
      <w:r>
        <w:rPr>
          <w:rFonts w:ascii="仿宋_GB2312" w:hAnsi="仿宋_GB2312" w:cs="仿宋_GB2312" w:hint="eastAsia"/>
        </w:rPr>
        <w:t>防渗玻璃钢化粪池，地坪冲洗废水集中收集后进入隔油沉淀池去除大部分石油类物质后，进入30m</w:t>
      </w:r>
      <w:r>
        <w:rPr>
          <w:rFonts w:ascii="仿宋_GB2312" w:hAnsi="仿宋_GB2312" w:cs="仿宋_GB2312" w:hint="eastAsia"/>
          <w:vertAlign w:val="superscript"/>
        </w:rPr>
        <w:t>3</w:t>
      </w:r>
      <w:r>
        <w:rPr>
          <w:rFonts w:ascii="仿宋_GB2312" w:hAnsi="仿宋_GB2312" w:cs="仿宋_GB2312" w:hint="eastAsia"/>
        </w:rPr>
        <w:t>防渗玻璃钢化粪池同生活污水一并委托环卫部门定期清运至沙河镇污水处理厂</w:t>
      </w:r>
      <w:r w:rsidR="000914ED">
        <w:rPr>
          <w:rFonts w:ascii="仿宋_GB2312" w:hAnsi="仿宋_GB2312" w:cs="仿宋_GB2312" w:hint="eastAsia"/>
        </w:rPr>
        <w:t>,不得设外排口外排</w:t>
      </w:r>
      <w:r>
        <w:rPr>
          <w:rFonts w:ascii="仿宋_GB2312" w:hAnsi="仿宋_GB2312" w:cs="仿宋_GB2312" w:hint="eastAsia"/>
        </w:rPr>
        <w:t>。</w:t>
      </w:r>
    </w:p>
    <w:p w:rsidR="00D15613" w:rsidRDefault="002D2E81" w:rsidP="00D15613">
      <w:pPr>
        <w:adjustRightInd w:val="0"/>
        <w:snapToGrid w:val="0"/>
        <w:spacing w:line="560" w:lineRule="exact"/>
        <w:ind w:firstLineChars="200" w:firstLine="609"/>
        <w:rPr>
          <w:rFonts w:ascii="仿宋_GB2312"/>
          <w:color w:val="000000"/>
        </w:rPr>
      </w:pPr>
      <w:r>
        <w:rPr>
          <w:rFonts w:ascii="仿宋_GB2312" w:hint="eastAsia"/>
        </w:rPr>
        <w:t>（三）加强废气治理措施。项目运行期大气污染物主要为卸车、</w:t>
      </w:r>
      <w:r>
        <w:rPr>
          <w:rFonts w:ascii="仿宋_GB2312" w:hint="eastAsia"/>
        </w:rPr>
        <w:lastRenderedPageBreak/>
        <w:t>储存、加油（气）过程中产生的非甲烷总烃、LNG放散气体及过往加油车辆的汽车尾气和扬尘。卸车、储存、加油（气）过程中产生的非甲烷总烃采取安装以密闭收集为基础的油气回收系统，汽车尾气通过做好站区管理及油料供应工作，减少加油车辆的排队滞留等措施，</w:t>
      </w:r>
      <w:r>
        <w:rPr>
          <w:rFonts w:ascii="仿宋_GB2312" w:hint="eastAsia"/>
          <w:color w:val="000000"/>
        </w:rPr>
        <w:t>确保</w:t>
      </w:r>
      <w:r>
        <w:rPr>
          <w:rFonts w:ascii="仿宋_GB2312" w:hint="eastAsia"/>
        </w:rPr>
        <w:t>非甲烷总烃类满足《大气污染物综合排放标准》（GB16297—1996）中新污染源无组织排放浓度</w:t>
      </w:r>
      <w:r>
        <w:rPr>
          <w:rFonts w:ascii="仿宋_GB2312" w:hint="eastAsia"/>
          <w:color w:val="000000"/>
        </w:rPr>
        <w:t>≤4.0mg/m</w:t>
      </w:r>
      <w:r>
        <w:rPr>
          <w:rFonts w:ascii="仿宋_GB2312" w:hint="eastAsia"/>
          <w:color w:val="000000"/>
          <w:vertAlign w:val="superscript"/>
        </w:rPr>
        <w:t>3</w:t>
      </w:r>
      <w:r>
        <w:rPr>
          <w:rFonts w:ascii="仿宋_GB2312" w:hint="eastAsia"/>
          <w:color w:val="000000"/>
        </w:rPr>
        <w:t>要求。</w:t>
      </w:r>
      <w:bookmarkStart w:id="0" w:name="_GoBack"/>
      <w:bookmarkEnd w:id="0"/>
    </w:p>
    <w:p w:rsidR="00D15613" w:rsidRDefault="002D2E81" w:rsidP="00D15613">
      <w:pPr>
        <w:adjustRightInd w:val="0"/>
        <w:snapToGrid w:val="0"/>
        <w:spacing w:line="560" w:lineRule="exact"/>
        <w:ind w:firstLineChars="200" w:firstLine="609"/>
        <w:rPr>
          <w:rFonts w:ascii="仿宋_GB2312"/>
        </w:rPr>
      </w:pPr>
      <w:r>
        <w:rPr>
          <w:rFonts w:ascii="仿宋_GB2312" w:hint="eastAsia"/>
          <w:snapToGrid w:val="0"/>
        </w:rPr>
        <w:t>（四）严格落实噪音污染防治措施。</w:t>
      </w:r>
      <w:r>
        <w:rPr>
          <w:rFonts w:ascii="仿宋_GB2312" w:hint="eastAsia"/>
        </w:rPr>
        <w:t>该项目主要噪声来源于加油站内来往的机动车产生的噪声及加油泵等设备运行时产生的噪声。通过对设备采取消声、减振及室内合理布置等措施，厂界噪声强度应达到《工业企业厂界环境噪声排放标准》（GB12348-2008）中2类、4a类标准。</w:t>
      </w:r>
    </w:p>
    <w:p w:rsidR="00D15613" w:rsidRDefault="002D2E81" w:rsidP="00D15613">
      <w:pPr>
        <w:adjustRightInd w:val="0"/>
        <w:snapToGrid w:val="0"/>
        <w:spacing w:line="560" w:lineRule="exact"/>
        <w:ind w:firstLineChars="200" w:firstLine="609"/>
        <w:rPr>
          <w:rFonts w:ascii="仿宋_GB2312" w:hAnsi="宋体" w:cs="宋体"/>
          <w:kern w:val="0"/>
        </w:rPr>
      </w:pPr>
      <w:r>
        <w:rPr>
          <w:rFonts w:ascii="仿宋_GB2312" w:hint="eastAsia"/>
        </w:rPr>
        <w:t>（五）严格落实固体废物分类处置和分类利用措施。项目固废主要为固体废弃物主要为清罐时产生的清罐油泥、沾油废物及生活垃圾。清罐油泥、沾油废物属于危险废物，分类收集分类储存于专用容器内，暂存在站内的危险废物暂存库（暂存库符合《危险废物贮存污染控制标准》（GB18597-2001）及2013年修改单中相关要求），</w:t>
      </w:r>
      <w:r>
        <w:rPr>
          <w:rFonts w:ascii="仿宋_GB2312" w:hint="eastAsia"/>
          <w:lang w:val="zh-CN"/>
        </w:rPr>
        <w:t>定期由有危险废物处置资质的单位进行回收处理。</w:t>
      </w:r>
      <w:r>
        <w:rPr>
          <w:rFonts w:ascii="仿宋_GB2312" w:hint="eastAsia"/>
        </w:rPr>
        <w:t>站区生活垃圾经集中收集后，定期清运至环卫部门指定地点统一处理，不得对外随意倾倒。</w:t>
      </w:r>
    </w:p>
    <w:p w:rsidR="00D15613" w:rsidRDefault="002D2E81">
      <w:pPr>
        <w:adjustRightInd w:val="0"/>
        <w:snapToGrid w:val="0"/>
        <w:spacing w:line="560" w:lineRule="exact"/>
        <w:ind w:firstLine="630"/>
        <w:rPr>
          <w:rFonts w:ascii="仿宋_GB2312" w:hAnsi="宋体" w:cs="宋体"/>
          <w:kern w:val="0"/>
        </w:rPr>
      </w:pPr>
      <w:r>
        <w:rPr>
          <w:rFonts w:ascii="仿宋_GB2312" w:hAnsi="宋体" w:cs="宋体" w:hint="eastAsia"/>
          <w:kern w:val="0"/>
        </w:rPr>
        <w:t>（六）</w:t>
      </w:r>
      <w:r>
        <w:rPr>
          <w:rFonts w:ascii="仿宋_GB2312" w:hint="eastAsia"/>
        </w:rPr>
        <w:t>项目单位必须根据《关于印发《加油站地下水污染防治技术指南（试行）》的通知》（环办水体函[2017]323号）要求，做好加油站防渗漏和防渗漏检测等措施，防止加油站油品泄漏，污染土壤和地下水。</w:t>
      </w:r>
    </w:p>
    <w:p w:rsidR="00D15613" w:rsidRDefault="002D2E81">
      <w:pPr>
        <w:adjustRightInd w:val="0"/>
        <w:snapToGrid w:val="0"/>
        <w:spacing w:line="560" w:lineRule="exact"/>
        <w:ind w:firstLine="630"/>
        <w:rPr>
          <w:rFonts w:ascii="仿宋_GB2312" w:hAnsi="Verdana" w:cs="宋体"/>
          <w:color w:val="000000"/>
          <w:kern w:val="0"/>
        </w:rPr>
      </w:pPr>
      <w:r>
        <w:rPr>
          <w:rFonts w:ascii="仿宋_GB2312" w:hint="eastAsia"/>
          <w:color w:val="000000"/>
        </w:rPr>
        <w:lastRenderedPageBreak/>
        <w:t>（七）</w:t>
      </w:r>
      <w:r>
        <w:rPr>
          <w:rFonts w:ascii="仿宋_GB2312" w:hAnsi="Verdana" w:cs="宋体" w:hint="eastAsia"/>
          <w:color w:val="000000"/>
          <w:kern w:val="0"/>
        </w:rPr>
        <w:t>加强管理，做好“跑、冒、滴、漏”防治工作，认真落实环境风险评价中的各项风险防范措施，确保安全运行并制定事故应急处置预案，</w:t>
      </w:r>
      <w:r>
        <w:rPr>
          <w:rFonts w:ascii="仿宋_GB2312" w:hint="eastAsia"/>
        </w:rPr>
        <w:t>报环保部门备案，并严格执行</w:t>
      </w:r>
      <w:r>
        <w:rPr>
          <w:rFonts w:ascii="仿宋_GB2312" w:hAnsi="Verdana" w:cs="宋体" w:hint="eastAsia"/>
          <w:color w:val="000000"/>
          <w:kern w:val="0"/>
        </w:rPr>
        <w:t>。</w:t>
      </w:r>
    </w:p>
    <w:p w:rsidR="00D15613" w:rsidRDefault="002D2E81" w:rsidP="00D15613">
      <w:pPr>
        <w:adjustRightInd w:val="0"/>
        <w:snapToGrid w:val="0"/>
        <w:spacing w:line="560" w:lineRule="exact"/>
        <w:ind w:firstLineChars="200" w:firstLine="609"/>
        <w:rPr>
          <w:rFonts w:ascii="仿宋_GB2312"/>
        </w:rPr>
      </w:pPr>
      <w:r>
        <w:rPr>
          <w:rFonts w:ascii="仿宋_GB2312" w:hAnsi="仿宋_GB2312" w:cs="仿宋_GB2312" w:hint="eastAsia"/>
        </w:rPr>
        <w:t>（八）加强防沙治沙生态保护措施。运营期间对项目周边绿化植被定期维护，保障绿化植被的存活，在不宜生长乔木的道路边缘种植杂草，增大植被覆盖面积，减少裸露土地面积，涵养水土，加强防风固沙。</w:t>
      </w:r>
    </w:p>
    <w:p w:rsidR="00D15613" w:rsidRDefault="002D2E81">
      <w:pPr>
        <w:adjustRightInd w:val="0"/>
        <w:snapToGrid w:val="0"/>
        <w:spacing w:line="560" w:lineRule="exact"/>
        <w:ind w:firstLine="630"/>
        <w:rPr>
          <w:rFonts w:ascii="仿宋_GB2312"/>
        </w:rPr>
      </w:pPr>
      <w:r>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D15613" w:rsidRDefault="002D2E81">
      <w:pPr>
        <w:adjustRightInd w:val="0"/>
        <w:snapToGrid w:val="0"/>
        <w:spacing w:line="560" w:lineRule="exact"/>
        <w:ind w:firstLine="630"/>
        <w:rPr>
          <w:rFonts w:ascii="仿宋_GB2312"/>
        </w:rPr>
      </w:pPr>
      <w:r>
        <w:rPr>
          <w:rFonts w:ascii="仿宋_GB2312"/>
        </w:rPr>
        <w:t>五、你单位须严格按照《</w:t>
      </w:r>
      <w:r>
        <w:rPr>
          <w:rFonts w:ascii="仿宋_GB2312" w:hint="eastAsia"/>
        </w:rPr>
        <w:t>排污许可证管理暂行规定</w:t>
      </w:r>
      <w:r>
        <w:rPr>
          <w:rFonts w:ascii="仿宋_GB2312"/>
        </w:rPr>
        <w:t>》要求，</w:t>
      </w:r>
      <w:r>
        <w:rPr>
          <w:rFonts w:ascii="仿宋_GB2312" w:hint="eastAsia"/>
        </w:rPr>
        <w:t>在投入生产或使用并产生实际排污行为之前申请领取排污许可证或进行排污登记。</w:t>
      </w:r>
    </w:p>
    <w:p w:rsidR="00D15613" w:rsidRDefault="002D2E81">
      <w:pPr>
        <w:adjustRightInd w:val="0"/>
        <w:snapToGrid w:val="0"/>
        <w:spacing w:line="560" w:lineRule="exact"/>
        <w:ind w:firstLine="630"/>
        <w:rPr>
          <w:rFonts w:ascii="仿宋_GB2312"/>
        </w:rPr>
      </w:pPr>
      <w:r>
        <w:rPr>
          <w:rFonts w:ascii="仿宋_GB2312" w:hint="eastAsia"/>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w:t>
      </w:r>
      <w:r>
        <w:rPr>
          <w:rFonts w:ascii="仿宋_GB2312" w:hint="eastAsia"/>
        </w:rPr>
        <w:lastRenderedPageBreak/>
        <w:t>在项目建设、运行过程中产生不符合经审批的环评文件情形的，应依法重新办理相关环保手续。</w:t>
      </w:r>
    </w:p>
    <w:p w:rsidR="00D15613" w:rsidRDefault="002D2E81" w:rsidP="00D15613">
      <w:pPr>
        <w:adjustRightInd w:val="0"/>
        <w:snapToGrid w:val="0"/>
        <w:spacing w:line="560" w:lineRule="exact"/>
        <w:ind w:firstLineChars="200" w:firstLine="609"/>
        <w:rPr>
          <w:rFonts w:ascii="仿宋_GB2312"/>
        </w:rPr>
      </w:pPr>
      <w:r>
        <w:rPr>
          <w:rFonts w:ascii="仿宋_GB2312" w:hint="eastAsia"/>
        </w:rPr>
        <w:t>七、五团根据《关于印发</w:t>
      </w:r>
      <w:r>
        <w:rPr>
          <w:rFonts w:ascii="仿宋_GB2312" w:hAnsi="仿宋_GB2312" w:hint="eastAsia"/>
        </w:rPr>
        <w:t>&lt;第一师阿拉尔市党政及其工作部门环境保护工作职责暂行规定&gt;的通知</w:t>
      </w:r>
      <w:r>
        <w:rPr>
          <w:rFonts w:ascii="仿宋_GB2312" w:hint="eastAsia"/>
        </w:rPr>
        <w:t>》（师市党办发〔2017〕47号）</w:t>
      </w:r>
      <w:r>
        <w:rPr>
          <w:rFonts w:ascii="仿宋_GB2312" w:hAnsi="仿宋_GB2312" w:hint="eastAsia"/>
        </w:rPr>
        <w:t>要求，做好该项目环境监管</w:t>
      </w:r>
      <w:r>
        <w:rPr>
          <w:rFonts w:ascii="仿宋_GB2312" w:hint="eastAsia"/>
        </w:rPr>
        <w:t>工作，</w:t>
      </w:r>
      <w:r w:rsidR="00AB7D83">
        <w:rPr>
          <w:rFonts w:ascii="仿宋_GB2312" w:hint="eastAsia"/>
        </w:rPr>
        <w:t>十一师环境监察支队、</w:t>
      </w:r>
      <w:r>
        <w:rPr>
          <w:rFonts w:ascii="仿宋_GB2312" w:hint="eastAsia"/>
        </w:rPr>
        <w:t>师市</w:t>
      </w:r>
      <w:r w:rsidR="00E32DBB">
        <w:rPr>
          <w:rFonts w:ascii="仿宋_GB2312" w:hint="eastAsia"/>
        </w:rPr>
        <w:t>生态环境保护综合</w:t>
      </w:r>
      <w:r>
        <w:rPr>
          <w:rFonts w:ascii="仿宋_GB2312" w:hAnsi="仿宋_GB2312" w:hint="eastAsia"/>
        </w:rPr>
        <w:t>行政执法</w:t>
      </w:r>
      <w:r>
        <w:rPr>
          <w:rFonts w:ascii="仿宋_GB2312" w:hint="eastAsia"/>
        </w:rPr>
        <w:t>支队做好该项目的抽查日常监督管理工作。</w:t>
      </w:r>
    </w:p>
    <w:p w:rsidR="00D15613" w:rsidRDefault="00D15613">
      <w:pPr>
        <w:pStyle w:val="Default"/>
        <w:adjustRightInd w:val="0"/>
        <w:snapToGrid w:val="0"/>
        <w:spacing w:line="560" w:lineRule="exact"/>
        <w:jc w:val="both"/>
        <w:rPr>
          <w:rFonts w:ascii="仿宋_GB2312" w:eastAsia="仿宋_GB2312" w:hAnsi="仿宋_GB2312" w:cs="仿宋_GB2312" w:hint="default"/>
          <w:color w:val="auto"/>
          <w:sz w:val="32"/>
          <w:szCs w:val="32"/>
        </w:rPr>
      </w:pPr>
    </w:p>
    <w:p w:rsidR="00D15613" w:rsidRDefault="00D15613" w:rsidP="00D15613">
      <w:pPr>
        <w:pStyle w:val="Default"/>
        <w:adjustRightInd w:val="0"/>
        <w:snapToGrid w:val="0"/>
        <w:spacing w:line="560" w:lineRule="exact"/>
        <w:ind w:leftChars="200" w:left="609" w:firstLineChars="1100" w:firstLine="3348"/>
        <w:jc w:val="both"/>
        <w:rPr>
          <w:rFonts w:ascii="仿宋_GB2312" w:eastAsia="仿宋_GB2312" w:hAnsi="仿宋_GB2312" w:cs="仿宋_GB2312" w:hint="default"/>
          <w:color w:val="auto"/>
          <w:sz w:val="32"/>
          <w:szCs w:val="32"/>
        </w:rPr>
      </w:pPr>
    </w:p>
    <w:p w:rsidR="00D15613" w:rsidRDefault="002D2E81" w:rsidP="00D15613">
      <w:pPr>
        <w:pStyle w:val="Default"/>
        <w:adjustRightInd w:val="0"/>
        <w:snapToGrid w:val="0"/>
        <w:spacing w:line="560" w:lineRule="exact"/>
        <w:ind w:leftChars="200" w:left="609" w:firstLineChars="1100" w:firstLine="3348"/>
        <w:jc w:val="both"/>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第一师阿拉尔市生态环境局</w:t>
      </w:r>
    </w:p>
    <w:p w:rsidR="00D15613" w:rsidRDefault="002D2E81">
      <w:pPr>
        <w:widowControl/>
        <w:adjustRightInd w:val="0"/>
        <w:snapToGrid w:val="0"/>
        <w:spacing w:line="560" w:lineRule="exact"/>
        <w:ind w:right="608"/>
        <w:rPr>
          <w:rFonts w:ascii="仿宋_GB2312"/>
          <w:kern w:val="0"/>
        </w:rPr>
      </w:pPr>
      <w:r>
        <w:rPr>
          <w:rFonts w:ascii="仿宋_GB2312" w:hAnsi="仿宋_GB2312" w:cs="仿宋_GB2312" w:hint="eastAsia"/>
          <w:kern w:val="0"/>
        </w:rPr>
        <w:t xml:space="preserve">                               2020年</w:t>
      </w:r>
      <w:r w:rsidR="00C26CF4">
        <w:rPr>
          <w:rFonts w:ascii="仿宋_GB2312" w:hAnsi="仿宋_GB2312" w:cs="仿宋_GB2312" w:hint="eastAsia"/>
          <w:kern w:val="0"/>
        </w:rPr>
        <w:t>8</w:t>
      </w:r>
      <w:r>
        <w:rPr>
          <w:rFonts w:ascii="仿宋_GB2312" w:hAnsi="仿宋_GB2312" w:cs="仿宋_GB2312" w:hint="eastAsia"/>
          <w:kern w:val="0"/>
        </w:rPr>
        <w:t>月</w:t>
      </w:r>
      <w:r w:rsidR="004229A7">
        <w:rPr>
          <w:rFonts w:ascii="仿宋_GB2312" w:hAnsi="仿宋_GB2312" w:cs="仿宋_GB2312" w:hint="eastAsia"/>
          <w:kern w:val="0"/>
        </w:rPr>
        <w:t>31</w:t>
      </w:r>
      <w:r>
        <w:rPr>
          <w:rFonts w:ascii="仿宋_GB2312" w:hAnsi="仿宋_GB2312" w:cs="仿宋_GB2312" w:hint="eastAsia"/>
          <w:kern w:val="0"/>
        </w:rPr>
        <w:t>日</w:t>
      </w:r>
      <w:r>
        <w:rPr>
          <w:rFonts w:ascii="仿宋_GB2312" w:hint="eastAsia"/>
          <w:kern w:val="0"/>
        </w:rPr>
        <w:t xml:space="preserve">   </w:t>
      </w:r>
    </w:p>
    <w:p w:rsidR="00D15613" w:rsidRDefault="002D2E81">
      <w:pPr>
        <w:widowControl/>
        <w:adjustRightInd w:val="0"/>
        <w:snapToGrid w:val="0"/>
        <w:spacing w:line="520" w:lineRule="exact"/>
        <w:ind w:right="608"/>
        <w:rPr>
          <w:rFonts w:ascii="仿宋_GB2312"/>
          <w:kern w:val="0"/>
        </w:rPr>
      </w:pPr>
      <w:r>
        <w:rPr>
          <w:rFonts w:ascii="仿宋_GB2312" w:hint="eastAsia"/>
          <w:kern w:val="0"/>
        </w:rPr>
        <w:t xml:space="preserve">                 </w:t>
      </w: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D15613" w:rsidRDefault="00D15613">
      <w:pPr>
        <w:widowControl/>
        <w:adjustRightInd w:val="0"/>
        <w:snapToGrid w:val="0"/>
        <w:spacing w:line="520" w:lineRule="exact"/>
        <w:ind w:right="608"/>
        <w:rPr>
          <w:rFonts w:ascii="仿宋_GB2312"/>
          <w:kern w:val="0"/>
        </w:rPr>
      </w:pPr>
    </w:p>
    <w:p w:rsidR="00C26CF4" w:rsidRDefault="00C26CF4" w:rsidP="00C26CF4">
      <w:pPr>
        <w:pStyle w:val="Default"/>
        <w:rPr>
          <w:rFonts w:hint="default"/>
        </w:rPr>
      </w:pPr>
    </w:p>
    <w:p w:rsidR="00C26CF4" w:rsidRPr="00C26CF4" w:rsidRDefault="00C26CF4" w:rsidP="00C26CF4">
      <w:pPr>
        <w:pStyle w:val="Default"/>
        <w:rPr>
          <w:rFonts w:hint="default"/>
        </w:rPr>
      </w:pPr>
    </w:p>
    <w:p w:rsidR="00D15613" w:rsidRDefault="00D15613">
      <w:pPr>
        <w:pStyle w:val="Default"/>
        <w:rPr>
          <w:rFonts w:hint="default"/>
        </w:rPr>
      </w:pPr>
    </w:p>
    <w:p w:rsidR="00D15613" w:rsidRDefault="007C6AF8">
      <w:pPr>
        <w:widowControl/>
        <w:adjustRightInd w:val="0"/>
        <w:snapToGrid w:val="0"/>
        <w:spacing w:line="520" w:lineRule="exact"/>
        <w:ind w:right="608"/>
        <w:rPr>
          <w:rFonts w:ascii="仿宋_GB2312" w:hAnsi="仿宋_GB2312" w:cs="仿宋_GB2312"/>
          <w:kern w:val="0"/>
        </w:rPr>
      </w:pPr>
      <w:r w:rsidRPr="007C6AF8">
        <w:pict>
          <v:line id="_x0000_s1029" style="position:absolute;left:0;text-align:left;z-index:251659264;mso-width-relative:page;mso-height-relative:page"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6uJrTAAAABgEAAA8AAAAAAAAAAQAg&#10;AAAAIgAAAGRycy9kb3ducmV2LnhtbFBLAQIUABQAAAAIAIdO4kC/tLCA2gEAAJYDAAAOAAAAAAAA&#10;AAEAIAAAACIBAABkcnMvZTJvRG9jLnhtbFBLBQYAAAAABgAGAFkBAABuBQAAAAA=&#10;"/>
        </w:pict>
      </w:r>
    </w:p>
    <w:p w:rsidR="004229A7" w:rsidRDefault="007C6AF8" w:rsidP="004229A7">
      <w:pPr>
        <w:topLinePunct/>
        <w:adjustRightInd w:val="0"/>
        <w:snapToGrid w:val="0"/>
        <w:spacing w:line="360" w:lineRule="auto"/>
        <w:ind w:left="661" w:hangingChars="250" w:hanging="661"/>
        <w:rPr>
          <w:rFonts w:ascii="仿宋_GB2312" w:hAnsi="仿宋_GB2312" w:cs="仿宋_GB2312" w:hint="eastAsia"/>
          <w:sz w:val="28"/>
          <w:szCs w:val="28"/>
        </w:rPr>
      </w:pPr>
      <w:r w:rsidRPr="007C6AF8">
        <w:rPr>
          <w:sz w:val="28"/>
          <w:szCs w:val="28"/>
        </w:rPr>
        <w:pict>
          <v:line id="_x0000_s1028" style="position:absolute;left:0;text-align:left;z-index:251660288;mso-width-relative:page;mso-height-relative:page" from="0,48.75pt" to="423pt,48.75pt" o:gfxdata="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xeagtQAAAAGAQAADwAAAAAAAAAB&#10;ACAAAAAiAAAAZHJzL2Rvd25yZXYueG1sUEsBAhQAFAAAAAgAh07iQK7f1O3bAQAAlgMAAA4AAAAA&#10;AAAAAQAgAAAAIwEAAGRycy9lMm9Eb2MueG1sUEsFBgAAAAAGAAYAWQEAAHAFAAAAAA==&#10;"/>
        </w:pict>
      </w:r>
      <w:r w:rsidR="002D2E81">
        <w:rPr>
          <w:sz w:val="28"/>
          <w:szCs w:val="28"/>
        </w:rPr>
        <w:t>抄送：</w:t>
      </w:r>
      <w:r w:rsidR="002D2E81">
        <w:rPr>
          <w:spacing w:val="-6"/>
          <w:w w:val="95"/>
          <w:sz w:val="28"/>
          <w:szCs w:val="28"/>
        </w:rPr>
        <w:t>师市相关领导，发改委、</w:t>
      </w:r>
      <w:r w:rsidR="002D2E81">
        <w:rPr>
          <w:rFonts w:hint="eastAsia"/>
          <w:spacing w:val="-6"/>
          <w:w w:val="95"/>
          <w:sz w:val="28"/>
          <w:szCs w:val="28"/>
        </w:rPr>
        <w:t>商务局、五团沙河镇、</w:t>
      </w:r>
      <w:r w:rsidR="00E32DBB" w:rsidRPr="00E32DBB">
        <w:rPr>
          <w:rFonts w:ascii="仿宋_GB2312" w:hAnsi="仿宋_GB2312" w:cs="仿宋_GB2312" w:hint="eastAsia"/>
          <w:sz w:val="28"/>
          <w:szCs w:val="28"/>
        </w:rPr>
        <w:t>生态环境保护综合行政</w:t>
      </w:r>
    </w:p>
    <w:p w:rsidR="00D15613" w:rsidRPr="004229A7" w:rsidRDefault="00E32DBB" w:rsidP="004229A7">
      <w:pPr>
        <w:topLinePunct/>
        <w:adjustRightInd w:val="0"/>
        <w:snapToGrid w:val="0"/>
        <w:spacing w:line="360" w:lineRule="auto"/>
        <w:ind w:left="661" w:hangingChars="250" w:hanging="661"/>
        <w:rPr>
          <w:rFonts w:ascii="仿宋_GB2312" w:hAnsi="仿宋_GB2312" w:cs="仿宋_GB2312"/>
          <w:sz w:val="28"/>
          <w:szCs w:val="28"/>
        </w:rPr>
      </w:pPr>
      <w:r w:rsidRPr="00E32DBB">
        <w:rPr>
          <w:rFonts w:ascii="仿宋_GB2312" w:hAnsi="仿宋_GB2312" w:cs="仿宋_GB2312" w:hint="eastAsia"/>
          <w:sz w:val="28"/>
          <w:szCs w:val="28"/>
        </w:rPr>
        <w:t>执法支队</w:t>
      </w:r>
      <w:r w:rsidR="00AB7D83">
        <w:rPr>
          <w:rFonts w:hint="eastAsia"/>
          <w:spacing w:val="-6"/>
          <w:w w:val="95"/>
          <w:sz w:val="28"/>
          <w:szCs w:val="28"/>
        </w:rPr>
        <w:t>、十一师环境监察支队，</w:t>
      </w:r>
      <w:r w:rsidR="002D2E81">
        <w:rPr>
          <w:rFonts w:hint="eastAsia"/>
          <w:spacing w:val="-6"/>
          <w:w w:val="95"/>
          <w:sz w:val="28"/>
          <w:szCs w:val="28"/>
        </w:rPr>
        <w:t>新疆清风朗月</w:t>
      </w:r>
      <w:r>
        <w:rPr>
          <w:rFonts w:hint="eastAsia"/>
          <w:spacing w:val="-6"/>
          <w:w w:val="95"/>
          <w:sz w:val="28"/>
          <w:szCs w:val="28"/>
        </w:rPr>
        <w:t>环保</w:t>
      </w:r>
      <w:r w:rsidR="002D2E81">
        <w:rPr>
          <w:rFonts w:hint="eastAsia"/>
          <w:spacing w:val="-6"/>
          <w:w w:val="95"/>
          <w:sz w:val="28"/>
          <w:szCs w:val="28"/>
        </w:rPr>
        <w:t>科技有限公司</w:t>
      </w:r>
    </w:p>
    <w:p w:rsidR="00D15613" w:rsidRDefault="007C6AF8" w:rsidP="00D15613">
      <w:pPr>
        <w:tabs>
          <w:tab w:val="left" w:pos="312"/>
        </w:tabs>
        <w:spacing w:line="560" w:lineRule="exact"/>
        <w:ind w:firstLineChars="50" w:firstLine="152"/>
      </w:pPr>
      <w:r>
        <w:pict>
          <v:line id="_x0000_s1027" style="position:absolute;left:0;text-align:left;z-index:251661312;mso-width-relative:page;mso-height-relative:page" from="0,33.4pt" to="423pt,33.4pt"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5Hopg0wAAAAYBAAAPAAAAAAAAAAEA&#10;IAAAACIAAABkcnMvZG93bnJldi54bWxQSwECFAAUAAAACACHTuJAmMiYNNsBAACWAwAADgAAAAAA&#10;AAABACAAAAAiAQAAZHJzL2Uyb0RvYy54bWxQSwUGAAAAAAYABgBZAQAAbwUAAAAA&#10;"/>
        </w:pict>
      </w:r>
      <w:r w:rsidR="002D2E81">
        <w:rPr>
          <w:sz w:val="28"/>
          <w:szCs w:val="28"/>
        </w:rPr>
        <w:t>第一师</w:t>
      </w:r>
      <w:r w:rsidR="002D2E81">
        <w:rPr>
          <w:rFonts w:hint="eastAsia"/>
          <w:sz w:val="28"/>
          <w:szCs w:val="28"/>
        </w:rPr>
        <w:t>阿拉尔市生态环境</w:t>
      </w:r>
      <w:r w:rsidR="002D2E81">
        <w:rPr>
          <w:sz w:val="28"/>
          <w:szCs w:val="28"/>
        </w:rPr>
        <w:t>局</w:t>
      </w:r>
      <w:r w:rsidR="002D2E81">
        <w:rPr>
          <w:sz w:val="28"/>
          <w:szCs w:val="28"/>
        </w:rPr>
        <w:t xml:space="preserve">                   20</w:t>
      </w:r>
      <w:r w:rsidR="002D2E81">
        <w:rPr>
          <w:rFonts w:hint="eastAsia"/>
          <w:sz w:val="28"/>
          <w:szCs w:val="28"/>
        </w:rPr>
        <w:t>20</w:t>
      </w:r>
      <w:r w:rsidR="002D2E81">
        <w:rPr>
          <w:sz w:val="28"/>
          <w:szCs w:val="28"/>
        </w:rPr>
        <w:t>年</w:t>
      </w:r>
      <w:r w:rsidR="00C26CF4">
        <w:rPr>
          <w:rFonts w:hint="eastAsia"/>
          <w:sz w:val="28"/>
          <w:szCs w:val="28"/>
        </w:rPr>
        <w:t>8</w:t>
      </w:r>
      <w:r w:rsidR="002D2E81">
        <w:rPr>
          <w:sz w:val="28"/>
          <w:szCs w:val="28"/>
        </w:rPr>
        <w:t>月</w:t>
      </w:r>
      <w:r w:rsidR="004229A7">
        <w:rPr>
          <w:rFonts w:hint="eastAsia"/>
          <w:sz w:val="28"/>
          <w:szCs w:val="28"/>
        </w:rPr>
        <w:t>31</w:t>
      </w:r>
      <w:r w:rsidR="002D2E81">
        <w:rPr>
          <w:sz w:val="28"/>
          <w:szCs w:val="28"/>
        </w:rPr>
        <w:t>日印发</w:t>
      </w:r>
    </w:p>
    <w:sectPr w:rsidR="00D15613" w:rsidSect="00D15613">
      <w:headerReference w:type="default" r:id="rId7"/>
      <w:footerReference w:type="even" r:id="rId8"/>
      <w:footerReference w:type="default" r:id="rId9"/>
      <w:pgSz w:w="11906" w:h="16838"/>
      <w:pgMar w:top="1871" w:right="1531" w:bottom="1531" w:left="1531" w:header="1134" w:footer="1134"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613" w:rsidRDefault="00D15613" w:rsidP="00D15613">
      <w:r>
        <w:separator/>
      </w:r>
    </w:p>
  </w:endnote>
  <w:endnote w:type="continuationSeparator" w:id="0">
    <w:p w:rsidR="00D15613" w:rsidRDefault="00D15613" w:rsidP="00D15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13" w:rsidRDefault="002D2E81">
    <w:pPr>
      <w:pStyle w:val="a6"/>
      <w:ind w:firstLineChars="100" w:firstLine="280"/>
      <w:rPr>
        <w:rFonts w:ascii="仿宋_GB2312"/>
        <w:sz w:val="28"/>
        <w:szCs w:val="28"/>
      </w:rPr>
    </w:pPr>
    <w:r>
      <w:rPr>
        <w:rFonts w:ascii="仿宋_GB2312" w:hint="eastAsia"/>
        <w:sz w:val="28"/>
        <w:szCs w:val="28"/>
      </w:rPr>
      <w:t xml:space="preserve">— </w:t>
    </w:r>
    <w:r w:rsidR="007C6AF8">
      <w:rPr>
        <w:rFonts w:ascii="仿宋_GB2312" w:hint="eastAsia"/>
        <w:sz w:val="28"/>
        <w:szCs w:val="28"/>
      </w:rPr>
      <w:fldChar w:fldCharType="begin"/>
    </w:r>
    <w:r>
      <w:rPr>
        <w:rStyle w:val="a8"/>
        <w:rFonts w:ascii="仿宋_GB2312" w:hint="eastAsia"/>
        <w:sz w:val="28"/>
        <w:szCs w:val="28"/>
      </w:rPr>
      <w:instrText xml:space="preserve"> PAGE </w:instrText>
    </w:r>
    <w:r w:rsidR="007C6AF8">
      <w:rPr>
        <w:rFonts w:ascii="仿宋_GB2312" w:hint="eastAsia"/>
        <w:sz w:val="28"/>
        <w:szCs w:val="28"/>
      </w:rPr>
      <w:fldChar w:fldCharType="separate"/>
    </w:r>
    <w:r>
      <w:rPr>
        <w:rStyle w:val="a8"/>
        <w:rFonts w:ascii="仿宋_GB2312"/>
        <w:sz w:val="28"/>
        <w:szCs w:val="28"/>
      </w:rPr>
      <w:t>4</w:t>
    </w:r>
    <w:r w:rsidR="007C6AF8">
      <w:rPr>
        <w:rFonts w:ascii="仿宋_GB2312" w:hint="eastAsia"/>
        <w:sz w:val="28"/>
        <w:szCs w:val="28"/>
      </w:rPr>
      <w:fldChar w:fldCharType="end"/>
    </w:r>
    <w:r>
      <w:rPr>
        <w:rStyle w:val="a8"/>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13" w:rsidRDefault="007C6AF8">
    <w:pPr>
      <w:pStyle w:val="a6"/>
      <w:wordWrap w:val="0"/>
      <w:jc w:val="right"/>
      <w:rPr>
        <w:rFonts w:ascii="仿宋_GB2312"/>
        <w:sz w:val="28"/>
        <w:szCs w:val="28"/>
      </w:rPr>
    </w:pPr>
    <w:r w:rsidRPr="007C6AF8">
      <w:rPr>
        <w:sz w:val="28"/>
      </w:rPr>
      <w:pict>
        <v:shapetype id="_x0000_t202" coordsize="21600,21600" o:spt="202" path="m,l,21600r21600,l21600,xe">
          <v:stroke joinstyle="miter"/>
          <v:path gradientshapeok="t" o:connecttype="rect"/>
        </v:shapetype>
        <v:shape id="文本框 5" o:spid="_x0000_s2049" type="#_x0000_t202" style="position:absolute;left:0;text-align:left;margin-left:520pt;margin-top:0;width:2in;height:2in;z-index:251658240;mso-wrap-style:none;mso-position-horizontal:outside;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urQEAAD8DAAAOAAAAZHJzL2Uyb0RvYy54bWysUs1qGzEQvgfyDkL3WhtD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HAIF7q0BAAA/AwAADgAAAAAAAAAAAAAAAAAuAgAAZHJzL2Uyb0RvYy54bWxQSwECLQAUAAYA&#10;CAAAACEADErw7tYAAAAFAQAADwAAAAAAAAAAAAAAAAAHBAAAZHJzL2Rvd25yZXYueG1sUEsFBgAA&#10;AAAEAAQA8wAAAAoFAAAAAA==&#10;" filled="f" stroked="f">
          <v:textbox style="mso-fit-shape-to-text:t" inset="0,0,0,0">
            <w:txbxContent>
              <w:p w:rsidR="00D15613" w:rsidRDefault="002D2E81">
                <w:pPr>
                  <w:pStyle w:val="a6"/>
                  <w:wordWrap w:val="0"/>
                  <w:jc w:val="right"/>
                </w:pPr>
                <w:r>
                  <w:rPr>
                    <w:rFonts w:ascii="仿宋_GB2312" w:hint="eastAsia"/>
                    <w:kern w:val="0"/>
                    <w:sz w:val="28"/>
                    <w:szCs w:val="28"/>
                  </w:rPr>
                  <w:t xml:space="preserve">— </w:t>
                </w:r>
                <w:r w:rsidR="007C6AF8">
                  <w:rPr>
                    <w:rFonts w:ascii="仿宋_GB2312" w:hint="eastAsia"/>
                    <w:kern w:val="0"/>
                    <w:sz w:val="28"/>
                    <w:szCs w:val="28"/>
                  </w:rPr>
                  <w:fldChar w:fldCharType="begin"/>
                </w:r>
                <w:r>
                  <w:rPr>
                    <w:rFonts w:ascii="仿宋_GB2312" w:hint="eastAsia"/>
                    <w:kern w:val="0"/>
                    <w:sz w:val="28"/>
                    <w:szCs w:val="28"/>
                  </w:rPr>
                  <w:instrText xml:space="preserve"> PAGE </w:instrText>
                </w:r>
                <w:r w:rsidR="007C6AF8">
                  <w:rPr>
                    <w:rFonts w:ascii="仿宋_GB2312" w:hint="eastAsia"/>
                    <w:kern w:val="0"/>
                    <w:sz w:val="28"/>
                    <w:szCs w:val="28"/>
                  </w:rPr>
                  <w:fldChar w:fldCharType="separate"/>
                </w:r>
                <w:r w:rsidR="004229A7">
                  <w:rPr>
                    <w:rFonts w:ascii="仿宋_GB2312"/>
                    <w:noProof/>
                    <w:kern w:val="0"/>
                    <w:sz w:val="28"/>
                    <w:szCs w:val="28"/>
                  </w:rPr>
                  <w:t>6</w:t>
                </w:r>
                <w:r w:rsidR="007C6AF8">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613" w:rsidRDefault="00D15613" w:rsidP="00D15613">
      <w:r>
        <w:separator/>
      </w:r>
    </w:p>
  </w:footnote>
  <w:footnote w:type="continuationSeparator" w:id="0">
    <w:p w:rsidR="00D15613" w:rsidRDefault="00D15613" w:rsidP="00D15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613" w:rsidRDefault="00D15613">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2"/>
  <w:drawingGridVerticalSpacing w:val="302"/>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9B50D7"/>
    <w:rsid w:val="00023162"/>
    <w:rsid w:val="000914ED"/>
    <w:rsid w:val="000A2AFA"/>
    <w:rsid w:val="000A7F3C"/>
    <w:rsid w:val="000B227E"/>
    <w:rsid w:val="000B2556"/>
    <w:rsid w:val="000B56FF"/>
    <w:rsid w:val="000E325E"/>
    <w:rsid w:val="00106D63"/>
    <w:rsid w:val="00137650"/>
    <w:rsid w:val="00146E7A"/>
    <w:rsid w:val="0017486E"/>
    <w:rsid w:val="001A6913"/>
    <w:rsid w:val="00232A7D"/>
    <w:rsid w:val="00232BEA"/>
    <w:rsid w:val="002750A0"/>
    <w:rsid w:val="002A296A"/>
    <w:rsid w:val="002B19C8"/>
    <w:rsid w:val="002D2E81"/>
    <w:rsid w:val="002D366E"/>
    <w:rsid w:val="0030233F"/>
    <w:rsid w:val="00386594"/>
    <w:rsid w:val="003E3025"/>
    <w:rsid w:val="003F3A9F"/>
    <w:rsid w:val="004229A7"/>
    <w:rsid w:val="00444C3B"/>
    <w:rsid w:val="00463682"/>
    <w:rsid w:val="004C21F7"/>
    <w:rsid w:val="004F7B48"/>
    <w:rsid w:val="0053618C"/>
    <w:rsid w:val="00536C61"/>
    <w:rsid w:val="00565D72"/>
    <w:rsid w:val="00574966"/>
    <w:rsid w:val="00581731"/>
    <w:rsid w:val="005A0EF4"/>
    <w:rsid w:val="005B3CF7"/>
    <w:rsid w:val="005C0D28"/>
    <w:rsid w:val="005C4C74"/>
    <w:rsid w:val="005E3856"/>
    <w:rsid w:val="006060C7"/>
    <w:rsid w:val="00622842"/>
    <w:rsid w:val="00655799"/>
    <w:rsid w:val="006920D6"/>
    <w:rsid w:val="006C14B9"/>
    <w:rsid w:val="006D2771"/>
    <w:rsid w:val="006D69B8"/>
    <w:rsid w:val="006D7837"/>
    <w:rsid w:val="00784CFF"/>
    <w:rsid w:val="007A263A"/>
    <w:rsid w:val="007C6AF8"/>
    <w:rsid w:val="007E5592"/>
    <w:rsid w:val="007F26DF"/>
    <w:rsid w:val="008022DC"/>
    <w:rsid w:val="00802F27"/>
    <w:rsid w:val="00830C32"/>
    <w:rsid w:val="00831ABB"/>
    <w:rsid w:val="0088659D"/>
    <w:rsid w:val="008A3D07"/>
    <w:rsid w:val="00903179"/>
    <w:rsid w:val="00915364"/>
    <w:rsid w:val="0096035F"/>
    <w:rsid w:val="00964912"/>
    <w:rsid w:val="009D32CE"/>
    <w:rsid w:val="009F1584"/>
    <w:rsid w:val="00A202C5"/>
    <w:rsid w:val="00A20E01"/>
    <w:rsid w:val="00A27C6B"/>
    <w:rsid w:val="00A4697E"/>
    <w:rsid w:val="00A54091"/>
    <w:rsid w:val="00A56CBD"/>
    <w:rsid w:val="00A9391D"/>
    <w:rsid w:val="00AA3B94"/>
    <w:rsid w:val="00AB5C59"/>
    <w:rsid w:val="00AB7D83"/>
    <w:rsid w:val="00AC21C8"/>
    <w:rsid w:val="00AE1D25"/>
    <w:rsid w:val="00AF3C8F"/>
    <w:rsid w:val="00B251E6"/>
    <w:rsid w:val="00B93390"/>
    <w:rsid w:val="00B97B10"/>
    <w:rsid w:val="00BA5CB4"/>
    <w:rsid w:val="00C0077F"/>
    <w:rsid w:val="00C21A9D"/>
    <w:rsid w:val="00C26CF4"/>
    <w:rsid w:val="00C828C1"/>
    <w:rsid w:val="00C83EEA"/>
    <w:rsid w:val="00C928C3"/>
    <w:rsid w:val="00CA0BEF"/>
    <w:rsid w:val="00D033F3"/>
    <w:rsid w:val="00D15613"/>
    <w:rsid w:val="00D1726B"/>
    <w:rsid w:val="00D22532"/>
    <w:rsid w:val="00D51444"/>
    <w:rsid w:val="00D62111"/>
    <w:rsid w:val="00D67B6E"/>
    <w:rsid w:val="00DE06CE"/>
    <w:rsid w:val="00E32DBB"/>
    <w:rsid w:val="00E36172"/>
    <w:rsid w:val="00E86567"/>
    <w:rsid w:val="00EC2B80"/>
    <w:rsid w:val="00EF30F1"/>
    <w:rsid w:val="00F0042D"/>
    <w:rsid w:val="00F00E34"/>
    <w:rsid w:val="00F11C10"/>
    <w:rsid w:val="00F13108"/>
    <w:rsid w:val="00F3491A"/>
    <w:rsid w:val="00F4088E"/>
    <w:rsid w:val="00F557AB"/>
    <w:rsid w:val="00FD237F"/>
    <w:rsid w:val="00FF0BF2"/>
    <w:rsid w:val="00FF1A9F"/>
    <w:rsid w:val="03225212"/>
    <w:rsid w:val="060F1A6E"/>
    <w:rsid w:val="081F3CD4"/>
    <w:rsid w:val="08811A5C"/>
    <w:rsid w:val="09332EB4"/>
    <w:rsid w:val="0CCF79F9"/>
    <w:rsid w:val="1AF44BD8"/>
    <w:rsid w:val="1E574A38"/>
    <w:rsid w:val="211667CB"/>
    <w:rsid w:val="21CE35F4"/>
    <w:rsid w:val="239B50D7"/>
    <w:rsid w:val="275746DD"/>
    <w:rsid w:val="28FE29C3"/>
    <w:rsid w:val="2930207B"/>
    <w:rsid w:val="2F8C00AC"/>
    <w:rsid w:val="31B5299E"/>
    <w:rsid w:val="329265F2"/>
    <w:rsid w:val="32E10D6E"/>
    <w:rsid w:val="342C2E72"/>
    <w:rsid w:val="350E2AD3"/>
    <w:rsid w:val="35621FD3"/>
    <w:rsid w:val="397F75FA"/>
    <w:rsid w:val="3AB10510"/>
    <w:rsid w:val="3F4D4837"/>
    <w:rsid w:val="41F51B69"/>
    <w:rsid w:val="427273C7"/>
    <w:rsid w:val="44FC29CD"/>
    <w:rsid w:val="46022F6A"/>
    <w:rsid w:val="468D7D48"/>
    <w:rsid w:val="481B5063"/>
    <w:rsid w:val="508D765E"/>
    <w:rsid w:val="5161792E"/>
    <w:rsid w:val="574A3EE2"/>
    <w:rsid w:val="57E2369A"/>
    <w:rsid w:val="5CD25C98"/>
    <w:rsid w:val="60182BAD"/>
    <w:rsid w:val="6105263C"/>
    <w:rsid w:val="62833D3F"/>
    <w:rsid w:val="65281682"/>
    <w:rsid w:val="65570F5F"/>
    <w:rsid w:val="69BB5D36"/>
    <w:rsid w:val="6DF45167"/>
    <w:rsid w:val="718910ED"/>
    <w:rsid w:val="734B05C2"/>
    <w:rsid w:val="7414378F"/>
    <w:rsid w:val="76737B94"/>
    <w:rsid w:val="78165F3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D15613"/>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D15613"/>
    <w:pPr>
      <w:autoSpaceDE w:val="0"/>
      <w:autoSpaceDN w:val="0"/>
      <w:jc w:val="left"/>
    </w:pPr>
    <w:rPr>
      <w:rFonts w:ascii="宋体" w:eastAsia="宋体" w:hint="eastAsia"/>
      <w:color w:val="000000"/>
      <w:kern w:val="0"/>
      <w:sz w:val="24"/>
      <w:szCs w:val="24"/>
    </w:rPr>
  </w:style>
  <w:style w:type="paragraph" w:styleId="a3">
    <w:name w:val="Body Text"/>
    <w:basedOn w:val="a"/>
    <w:qFormat/>
    <w:rsid w:val="00D15613"/>
    <w:pPr>
      <w:spacing w:after="120"/>
    </w:pPr>
    <w:rPr>
      <w:rFonts w:eastAsia="宋体"/>
    </w:rPr>
  </w:style>
  <w:style w:type="paragraph" w:styleId="a4">
    <w:name w:val="Body Text Indent"/>
    <w:basedOn w:val="a"/>
    <w:link w:val="Char"/>
    <w:qFormat/>
    <w:rsid w:val="00D15613"/>
    <w:pPr>
      <w:spacing w:after="120"/>
      <w:ind w:leftChars="200" w:left="420"/>
    </w:pPr>
  </w:style>
  <w:style w:type="paragraph" w:styleId="a5">
    <w:name w:val="Date"/>
    <w:basedOn w:val="a"/>
    <w:next w:val="a"/>
    <w:link w:val="Char0"/>
    <w:qFormat/>
    <w:rsid w:val="00D15613"/>
    <w:pPr>
      <w:ind w:leftChars="2500" w:left="100"/>
    </w:pPr>
  </w:style>
  <w:style w:type="paragraph" w:styleId="a6">
    <w:name w:val="footer"/>
    <w:basedOn w:val="a"/>
    <w:qFormat/>
    <w:rsid w:val="00D15613"/>
    <w:pPr>
      <w:tabs>
        <w:tab w:val="center" w:pos="4153"/>
        <w:tab w:val="right" w:pos="8306"/>
      </w:tabs>
      <w:snapToGrid w:val="0"/>
      <w:jc w:val="left"/>
    </w:pPr>
    <w:rPr>
      <w:sz w:val="18"/>
      <w:szCs w:val="18"/>
    </w:rPr>
  </w:style>
  <w:style w:type="paragraph" w:styleId="a7">
    <w:name w:val="header"/>
    <w:basedOn w:val="a"/>
    <w:qFormat/>
    <w:rsid w:val="00D15613"/>
    <w:pPr>
      <w:pBdr>
        <w:bottom w:val="thickThinSmallGap" w:sz="24" w:space="1" w:color="auto"/>
      </w:pBdr>
      <w:tabs>
        <w:tab w:val="center" w:pos="4153"/>
        <w:tab w:val="right" w:pos="8306"/>
      </w:tabs>
      <w:snapToGrid w:val="0"/>
      <w:jc w:val="center"/>
    </w:pPr>
    <w:rPr>
      <w:sz w:val="24"/>
      <w:szCs w:val="18"/>
    </w:rPr>
  </w:style>
  <w:style w:type="character" w:styleId="a8">
    <w:name w:val="page number"/>
    <w:basedOn w:val="a0"/>
    <w:qFormat/>
    <w:rsid w:val="00D15613"/>
  </w:style>
  <w:style w:type="paragraph" w:customStyle="1" w:styleId="a9">
    <w:name w:val="表内文字"/>
    <w:basedOn w:val="a"/>
    <w:qFormat/>
    <w:rsid w:val="00D15613"/>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D15613"/>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4"/>
    <w:qFormat/>
    <w:rsid w:val="00D15613"/>
    <w:rPr>
      <w:rFonts w:eastAsia="仿宋_GB2312"/>
      <w:kern w:val="2"/>
      <w:sz w:val="32"/>
      <w:szCs w:val="32"/>
    </w:rPr>
  </w:style>
  <w:style w:type="character" w:customStyle="1" w:styleId="Char0">
    <w:name w:val="日期 Char"/>
    <w:basedOn w:val="a0"/>
    <w:link w:val="a5"/>
    <w:qFormat/>
    <w:rsid w:val="00D15613"/>
    <w:rPr>
      <w:rFonts w:eastAsia="仿宋_GB2312"/>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2219</Words>
  <Characters>341</Characters>
  <Application>Microsoft Office Word</Application>
  <DocSecurity>0</DocSecurity>
  <Lines>2</Lines>
  <Paragraphs>5</Paragraphs>
  <ScaleCrop>false</ScaleCrop>
  <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68</cp:revision>
  <cp:lastPrinted>2019-12-17T03:51:00Z</cp:lastPrinted>
  <dcterms:created xsi:type="dcterms:W3CDTF">2019-05-05T02:29:00Z</dcterms:created>
  <dcterms:modified xsi:type="dcterms:W3CDTF">2020-08-31T09:10:00Z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