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right="-32" w:rightChars="-10"/>
        <w:jc w:val="center"/>
        <w:rPr>
          <w:rFonts w:ascii="方正小标宋简体" w:hAnsi="宋体" w:eastAsia="方正小标宋简体"/>
          <w:sz w:val="44"/>
          <w:szCs w:val="44"/>
        </w:rPr>
      </w:pPr>
    </w:p>
    <w:p>
      <w:pPr>
        <w:spacing w:line="440" w:lineRule="exact"/>
        <w:ind w:right="-32" w:rightChars="-10"/>
        <w:jc w:val="center"/>
        <w:rPr>
          <w:rFonts w:ascii="方正小标宋简体" w:hAnsi="宋体" w:eastAsia="方正小标宋简体"/>
          <w:sz w:val="44"/>
          <w:szCs w:val="44"/>
        </w:rPr>
      </w:pPr>
    </w:p>
    <w:p>
      <w:pPr>
        <w:spacing w:line="440" w:lineRule="exact"/>
        <w:ind w:right="-32" w:rightChars="-10"/>
        <w:jc w:val="center"/>
        <w:rPr>
          <w:rFonts w:ascii="方正小标宋简体" w:hAnsi="宋体" w:eastAsia="方正小标宋简体"/>
          <w:sz w:val="44"/>
          <w:szCs w:val="44"/>
        </w:rPr>
      </w:pPr>
    </w:p>
    <w:p>
      <w:pPr>
        <w:spacing w:line="440" w:lineRule="exact"/>
        <w:ind w:right="-32" w:rightChars="-10"/>
        <w:jc w:val="center"/>
        <w:rPr>
          <w:rFonts w:ascii="方正小标宋简体" w:hAnsi="宋体" w:eastAsia="方正小标宋简体"/>
          <w:sz w:val="44"/>
          <w:szCs w:val="44"/>
        </w:rPr>
      </w:pPr>
    </w:p>
    <w:p>
      <w:pPr>
        <w:spacing w:line="440" w:lineRule="exact"/>
        <w:ind w:right="-32" w:rightChars="-10"/>
        <w:jc w:val="center"/>
        <w:rPr>
          <w:rFonts w:ascii="方正小标宋简体" w:hAnsi="宋体" w:eastAsia="方正小标宋简体"/>
          <w:sz w:val="44"/>
          <w:szCs w:val="44"/>
        </w:rPr>
      </w:pPr>
    </w:p>
    <w:p>
      <w:pPr>
        <w:spacing w:line="440" w:lineRule="exact"/>
        <w:ind w:right="-32" w:rightChars="-10"/>
        <w:jc w:val="center"/>
        <w:rPr>
          <w:rFonts w:ascii="方正小标宋简体" w:hAnsi="宋体" w:eastAsia="方正小标宋简体"/>
          <w:sz w:val="44"/>
          <w:szCs w:val="44"/>
        </w:rPr>
      </w:pPr>
    </w:p>
    <w:p>
      <w:pPr>
        <w:spacing w:line="560" w:lineRule="exact"/>
        <w:ind w:right="-32" w:rightChars="-10"/>
        <w:jc w:val="center"/>
        <w:rPr>
          <w:rFonts w:ascii="方正小标宋简体" w:hAnsi="宋体" w:eastAsia="方正小标宋简体"/>
          <w:sz w:val="44"/>
          <w:szCs w:val="44"/>
        </w:rPr>
      </w:pPr>
    </w:p>
    <w:p>
      <w:pPr>
        <w:spacing w:line="560" w:lineRule="exact"/>
        <w:ind w:right="-32" w:rightChars="-10"/>
        <w:jc w:val="center"/>
        <w:rPr>
          <w:rFonts w:ascii="方正小标宋简体" w:hAnsi="宋体" w:eastAsia="方正小标宋简体"/>
          <w:sz w:val="44"/>
          <w:szCs w:val="44"/>
        </w:rPr>
      </w:pPr>
    </w:p>
    <w:p>
      <w:pPr>
        <w:spacing w:line="560" w:lineRule="exact"/>
        <w:ind w:right="-32" w:rightChars="-10"/>
        <w:jc w:val="center"/>
        <w:rPr>
          <w:rFonts w:ascii="方正小标宋简体" w:hAnsi="宋体" w:eastAsia="方正小标宋简体"/>
          <w:sz w:val="44"/>
          <w:szCs w:val="44"/>
        </w:rPr>
      </w:pPr>
    </w:p>
    <w:p>
      <w:pPr>
        <w:spacing w:line="560" w:lineRule="exact"/>
        <w:ind w:right="-32" w:rightChars="-10"/>
        <w:jc w:val="center"/>
        <w:rPr>
          <w:rFonts w:ascii="仿宋_GB2312" w:hAnsi="宋体"/>
        </w:rPr>
      </w:pPr>
      <w:r>
        <w:rPr>
          <w:rFonts w:hint="eastAsia" w:ascii="方正小标宋简体" w:hAnsi="宋体" w:eastAsia="方正小标宋简体"/>
          <w:sz w:val="44"/>
          <w:szCs w:val="44"/>
          <w:lang w:val="en-US" w:eastAsia="zh-CN"/>
        </w:rPr>
        <w:t>师市商务局</w:t>
      </w:r>
      <w:r>
        <w:rPr>
          <w:rFonts w:hint="eastAsia" w:ascii="方正小标宋简体" w:hAnsi="宋体" w:eastAsia="方正小标宋简体"/>
          <w:sz w:val="44"/>
          <w:szCs w:val="44"/>
        </w:rPr>
        <w:t>2020年度部门预算公开</w:t>
      </w: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jc w:val="center"/>
        <w:rPr>
          <w:rFonts w:ascii="仿宋_GB2312" w:hAnsi="宋体"/>
        </w:rPr>
      </w:pPr>
      <w:r>
        <w:rPr>
          <w:rFonts w:hint="eastAsia" w:ascii="仿宋_GB2312" w:hAnsi="宋体"/>
        </w:rPr>
        <w:t>公开日期：2020年</w:t>
      </w:r>
      <w:r>
        <w:rPr>
          <w:rFonts w:hint="eastAsia" w:ascii="仿宋_GB2312" w:hAnsi="宋体"/>
          <w:lang w:val="en-US" w:eastAsia="zh-CN"/>
        </w:rPr>
        <w:t>4</w:t>
      </w:r>
      <w:r>
        <w:rPr>
          <w:rFonts w:hint="eastAsia" w:ascii="仿宋_GB2312" w:hAnsi="宋体"/>
        </w:rPr>
        <w:t>月</w:t>
      </w:r>
      <w:r>
        <w:rPr>
          <w:rFonts w:hint="eastAsia" w:ascii="仿宋_GB2312" w:hAnsi="宋体"/>
          <w:lang w:val="en-US" w:eastAsia="zh-CN"/>
        </w:rPr>
        <w:t>1</w:t>
      </w:r>
      <w:r>
        <w:rPr>
          <w:rFonts w:hint="eastAsia" w:ascii="仿宋_GB2312" w:hAnsi="宋体"/>
        </w:rPr>
        <w:t>日</w:t>
      </w: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ind w:firstLine="627" w:firstLineChars="196"/>
        <w:rPr>
          <w:rFonts w:ascii="仿宋_GB2312" w:hAnsi="宋体"/>
        </w:rPr>
      </w:pPr>
    </w:p>
    <w:p>
      <w:pPr>
        <w:spacing w:line="560" w:lineRule="exact"/>
        <w:jc w:val="center"/>
        <w:rPr>
          <w:rFonts w:ascii="黑体" w:hAnsi="宋体" w:eastAsia="黑体"/>
        </w:rPr>
      </w:pPr>
      <w:r>
        <w:rPr>
          <w:rFonts w:hint="eastAsia" w:ascii="黑体" w:hAnsi="宋体" w:eastAsia="黑体"/>
        </w:rPr>
        <w:t>目录</w:t>
      </w:r>
    </w:p>
    <w:p>
      <w:pPr>
        <w:spacing w:line="560" w:lineRule="exact"/>
        <w:ind w:firstLine="627" w:firstLineChars="196"/>
        <w:rPr>
          <w:rFonts w:ascii="黑体" w:hAnsi="宋体" w:eastAsia="黑体"/>
        </w:rPr>
      </w:pPr>
    </w:p>
    <w:p>
      <w:pPr>
        <w:spacing w:line="560" w:lineRule="exact"/>
        <w:ind w:firstLine="627" w:firstLineChars="196"/>
        <w:rPr>
          <w:rFonts w:ascii="黑体" w:hAnsi="宋体" w:eastAsia="黑体"/>
        </w:rPr>
      </w:pPr>
      <w:r>
        <w:rPr>
          <w:rFonts w:hint="eastAsia" w:ascii="黑体" w:hAnsi="宋体" w:eastAsia="黑体"/>
        </w:rPr>
        <w:t xml:space="preserve">第一部分 </w:t>
      </w:r>
      <w:r>
        <w:rPr>
          <w:rFonts w:hint="eastAsia" w:ascii="黑体" w:hAnsi="宋体" w:eastAsia="黑体"/>
          <w:lang w:val="en-US" w:eastAsia="zh-CN"/>
        </w:rPr>
        <w:t>师市商务局</w:t>
      </w:r>
      <w:r>
        <w:rPr>
          <w:rFonts w:hint="eastAsia" w:ascii="黑体" w:hAnsi="宋体" w:eastAsia="黑体"/>
        </w:rPr>
        <w:t>概况</w:t>
      </w:r>
    </w:p>
    <w:p>
      <w:pPr>
        <w:spacing w:line="560" w:lineRule="exact"/>
        <w:ind w:firstLine="627" w:firstLineChars="196"/>
        <w:rPr>
          <w:rFonts w:ascii="仿宋_GB2312" w:hAnsi="宋体"/>
        </w:rPr>
      </w:pPr>
      <w:r>
        <w:rPr>
          <w:rFonts w:hint="eastAsia" w:ascii="仿宋_GB2312" w:hAnsi="宋体"/>
        </w:rPr>
        <w:t>一、主要职责</w:t>
      </w:r>
    </w:p>
    <w:p>
      <w:pPr>
        <w:spacing w:line="560" w:lineRule="exact"/>
        <w:ind w:firstLine="640" w:firstLineChars="200"/>
        <w:rPr>
          <w:rFonts w:ascii="仿宋_GB2312" w:hAnsi="宋体"/>
        </w:rPr>
      </w:pPr>
      <w:r>
        <w:rPr>
          <w:rFonts w:hint="eastAsia" w:ascii="仿宋_GB2312" w:hAnsi="宋体"/>
        </w:rPr>
        <w:t>二、内设机构</w:t>
      </w:r>
    </w:p>
    <w:p>
      <w:pPr>
        <w:spacing w:line="560" w:lineRule="exact"/>
        <w:ind w:firstLine="640" w:firstLineChars="200"/>
        <w:rPr>
          <w:rFonts w:ascii="黑体" w:hAnsi="宋体" w:eastAsia="黑体"/>
        </w:rPr>
      </w:pPr>
      <w:r>
        <w:rPr>
          <w:rFonts w:hint="eastAsia" w:ascii="黑体" w:hAnsi="宋体" w:eastAsia="黑体"/>
        </w:rPr>
        <w:t>第二部分 2020年度部门预算表（见附件）</w:t>
      </w:r>
    </w:p>
    <w:p>
      <w:pPr>
        <w:spacing w:line="560" w:lineRule="exact"/>
        <w:ind w:firstLine="640" w:firstLineChars="200"/>
        <w:rPr>
          <w:rFonts w:ascii="仿宋_GB2312" w:hAnsi="宋体"/>
        </w:rPr>
      </w:pPr>
      <w:r>
        <w:rPr>
          <w:rFonts w:hint="eastAsia" w:ascii="仿宋_GB2312" w:hAnsi="宋体"/>
        </w:rPr>
        <w:t>一、2020年度部门收支预算总表</w:t>
      </w:r>
    </w:p>
    <w:p>
      <w:pPr>
        <w:spacing w:line="560" w:lineRule="exact"/>
        <w:ind w:firstLine="640" w:firstLineChars="200"/>
        <w:rPr>
          <w:rFonts w:ascii="仿宋_GB2312" w:hAnsi="宋体"/>
        </w:rPr>
      </w:pPr>
      <w:r>
        <w:rPr>
          <w:rFonts w:hint="eastAsia" w:ascii="仿宋_GB2312" w:hAnsi="宋体"/>
        </w:rPr>
        <w:t>二、2020年度部门收入预算总表</w:t>
      </w:r>
    </w:p>
    <w:p>
      <w:pPr>
        <w:spacing w:line="560" w:lineRule="exact"/>
        <w:ind w:firstLine="640" w:firstLineChars="200"/>
        <w:rPr>
          <w:rFonts w:ascii="仿宋_GB2312" w:hAnsi="宋体"/>
        </w:rPr>
      </w:pPr>
      <w:r>
        <w:rPr>
          <w:rFonts w:hint="eastAsia" w:ascii="仿宋_GB2312" w:hAnsi="宋体"/>
        </w:rPr>
        <w:t>三、2020年度部门支出预算总表</w:t>
      </w:r>
    </w:p>
    <w:p>
      <w:pPr>
        <w:spacing w:line="560" w:lineRule="exact"/>
        <w:ind w:firstLine="640" w:firstLineChars="200"/>
        <w:rPr>
          <w:rFonts w:ascii="仿宋_GB2312" w:hAnsi="宋体"/>
        </w:rPr>
      </w:pPr>
      <w:r>
        <w:rPr>
          <w:rFonts w:hint="eastAsia" w:ascii="仿宋_GB2312" w:hAnsi="宋体"/>
        </w:rPr>
        <w:t>四、2020年度部门支出预算明细表</w:t>
      </w:r>
    </w:p>
    <w:p>
      <w:pPr>
        <w:spacing w:line="560" w:lineRule="exact"/>
        <w:ind w:firstLine="640" w:firstLineChars="200"/>
        <w:rPr>
          <w:rFonts w:ascii="仿宋_GB2312" w:hAnsi="宋体"/>
        </w:rPr>
      </w:pPr>
      <w:r>
        <w:rPr>
          <w:rFonts w:hint="eastAsia" w:ascii="仿宋_GB2312" w:hAnsi="宋体"/>
        </w:rPr>
        <w:t>五、2020年度部门财政拨款收支预算总表</w:t>
      </w:r>
    </w:p>
    <w:p>
      <w:pPr>
        <w:spacing w:line="560" w:lineRule="exact"/>
        <w:ind w:firstLine="640" w:firstLineChars="200"/>
        <w:rPr>
          <w:rFonts w:ascii="仿宋_GB2312" w:hAnsi="宋体"/>
        </w:rPr>
      </w:pPr>
      <w:r>
        <w:rPr>
          <w:rFonts w:hint="eastAsia" w:ascii="仿宋_GB2312" w:hAnsi="宋体"/>
        </w:rPr>
        <w:t>六、2020年度部门一般公共预算支出情况表</w:t>
      </w:r>
    </w:p>
    <w:p>
      <w:pPr>
        <w:spacing w:line="560" w:lineRule="exact"/>
        <w:ind w:firstLine="640" w:firstLineChars="200"/>
        <w:rPr>
          <w:rFonts w:ascii="仿宋_GB2312" w:hAnsi="宋体"/>
        </w:rPr>
      </w:pPr>
      <w:r>
        <w:rPr>
          <w:rFonts w:hint="eastAsia" w:ascii="仿宋_GB2312" w:hAnsi="宋体"/>
        </w:rPr>
        <w:t>七、2020年度部门一般公共预算基本支出情况表</w:t>
      </w:r>
    </w:p>
    <w:p>
      <w:pPr>
        <w:spacing w:line="560" w:lineRule="exact"/>
        <w:ind w:firstLine="640" w:firstLineChars="200"/>
        <w:rPr>
          <w:rFonts w:ascii="仿宋_GB2312" w:hAnsi="宋体"/>
        </w:rPr>
      </w:pPr>
      <w:r>
        <w:rPr>
          <w:rFonts w:hint="eastAsia" w:ascii="仿宋_GB2312" w:hAnsi="宋体"/>
        </w:rPr>
        <w:t>八、</w:t>
      </w:r>
      <w:r>
        <w:rPr>
          <w:rFonts w:hint="eastAsia" w:ascii="仿宋_GB2312" w:hAnsi="宋体"/>
          <w:spacing w:val="-20"/>
        </w:rPr>
        <w:t>2020年度部门预算“三公”经费和会议费支出预算表</w:t>
      </w:r>
    </w:p>
    <w:p>
      <w:pPr>
        <w:spacing w:line="560" w:lineRule="exact"/>
        <w:ind w:firstLine="640" w:firstLineChars="200"/>
        <w:rPr>
          <w:rFonts w:ascii="仿宋_GB2312" w:hAnsi="宋体"/>
        </w:rPr>
      </w:pPr>
      <w:r>
        <w:rPr>
          <w:rFonts w:hint="eastAsia" w:ascii="仿宋_GB2312" w:hAnsi="宋体"/>
        </w:rPr>
        <w:t>九、2020年度部门政府性基金预算情况表</w:t>
      </w:r>
    </w:p>
    <w:p>
      <w:pPr>
        <w:spacing w:line="560" w:lineRule="exact"/>
        <w:ind w:firstLine="640" w:firstLineChars="200"/>
        <w:rPr>
          <w:rFonts w:ascii="黑体" w:hAnsi="黑体" w:eastAsia="黑体"/>
        </w:rPr>
      </w:pPr>
      <w:r>
        <w:rPr>
          <w:rFonts w:hint="eastAsia" w:ascii="黑体" w:hAnsi="黑体" w:eastAsia="黑体"/>
        </w:rPr>
        <w:t>第三部分 部门预算情况说明</w:t>
      </w:r>
    </w:p>
    <w:p>
      <w:pPr>
        <w:spacing w:line="560" w:lineRule="exact"/>
        <w:ind w:firstLine="640" w:firstLineChars="200"/>
        <w:rPr>
          <w:rFonts w:ascii="仿宋_GB2312" w:hAnsi="宋体"/>
        </w:rPr>
      </w:pPr>
      <w:r>
        <w:rPr>
          <w:rFonts w:hint="eastAsia" w:ascii="仿宋_GB2312" w:hAnsi="宋体"/>
        </w:rPr>
        <w:t>一、部门预算收支增减变动说明</w:t>
      </w:r>
    </w:p>
    <w:p>
      <w:pPr>
        <w:spacing w:line="560" w:lineRule="exact"/>
        <w:ind w:firstLine="640" w:firstLineChars="200"/>
        <w:rPr>
          <w:rFonts w:ascii="仿宋_GB2312" w:hAnsi="宋体"/>
        </w:rPr>
      </w:pPr>
      <w:r>
        <w:rPr>
          <w:rFonts w:hint="eastAsia" w:ascii="仿宋_GB2312" w:hAnsi="宋体"/>
        </w:rPr>
        <w:t>二、“三公”经费预算及会议费情况</w:t>
      </w:r>
    </w:p>
    <w:p>
      <w:pPr>
        <w:spacing w:line="560" w:lineRule="exact"/>
        <w:ind w:firstLine="640" w:firstLineChars="200"/>
        <w:rPr>
          <w:rFonts w:ascii="仿宋_GB2312" w:hAnsi="宋体"/>
        </w:rPr>
      </w:pPr>
      <w:r>
        <w:rPr>
          <w:rFonts w:hint="eastAsia" w:ascii="仿宋_GB2312" w:hAnsi="宋体"/>
        </w:rPr>
        <w:t>三、机关运行经费安排情况</w:t>
      </w:r>
    </w:p>
    <w:p>
      <w:pPr>
        <w:spacing w:line="560" w:lineRule="exact"/>
        <w:ind w:firstLine="640" w:firstLineChars="200"/>
        <w:rPr>
          <w:rFonts w:ascii="仿宋_GB2312" w:hAnsi="宋体"/>
        </w:rPr>
      </w:pPr>
      <w:r>
        <w:rPr>
          <w:rFonts w:hint="eastAsia" w:ascii="仿宋_GB2312" w:hAnsi="宋体"/>
        </w:rPr>
        <w:t>四、政府采购情况</w:t>
      </w:r>
    </w:p>
    <w:p>
      <w:pPr>
        <w:spacing w:line="560" w:lineRule="exact"/>
        <w:ind w:firstLine="640" w:firstLineChars="200"/>
        <w:rPr>
          <w:rFonts w:ascii="仿宋_GB2312" w:hAnsi="宋体"/>
        </w:rPr>
      </w:pPr>
      <w:r>
        <w:rPr>
          <w:rFonts w:hint="eastAsia" w:ascii="仿宋_GB2312" w:hAnsi="宋体"/>
        </w:rPr>
        <w:t>五、国有资产占有使用情况</w:t>
      </w:r>
    </w:p>
    <w:p>
      <w:pPr>
        <w:spacing w:line="560" w:lineRule="exact"/>
        <w:ind w:firstLine="640" w:firstLineChars="200"/>
        <w:rPr>
          <w:rFonts w:ascii="黑体" w:hAnsi="黑体" w:eastAsia="黑体"/>
        </w:rPr>
      </w:pPr>
      <w:r>
        <w:rPr>
          <w:rFonts w:hint="eastAsia" w:ascii="黑体" w:hAnsi="黑体" w:eastAsia="黑体"/>
        </w:rPr>
        <w:t>第四部分 名词解释</w:t>
      </w:r>
    </w:p>
    <w:p>
      <w:pPr>
        <w:spacing w:line="560" w:lineRule="exact"/>
        <w:ind w:firstLine="640" w:firstLineChars="200"/>
        <w:rPr>
          <w:rFonts w:ascii="仿宋_GB2312" w:hAnsi="宋体"/>
        </w:rPr>
      </w:pPr>
    </w:p>
    <w:p>
      <w:pPr>
        <w:spacing w:line="560" w:lineRule="exact"/>
        <w:ind w:firstLine="640" w:firstLineChars="200"/>
        <w:rPr>
          <w:rFonts w:ascii="仿宋_GB2312" w:hAnsi="宋体"/>
        </w:rPr>
      </w:pPr>
    </w:p>
    <w:p>
      <w:pPr>
        <w:spacing w:line="560" w:lineRule="exact"/>
        <w:jc w:val="center"/>
        <w:rPr>
          <w:rFonts w:ascii="黑体" w:hAnsi="宋体" w:eastAsia="黑体"/>
        </w:rPr>
      </w:pPr>
      <w:r>
        <w:rPr>
          <w:rFonts w:hint="eastAsia" w:ascii="黑体" w:hAnsi="宋体" w:eastAsia="黑体"/>
        </w:rPr>
        <w:t xml:space="preserve">第一部分 </w:t>
      </w:r>
      <w:r>
        <w:rPr>
          <w:rFonts w:hint="eastAsia" w:ascii="黑体" w:hAnsi="宋体" w:eastAsia="黑体"/>
          <w:lang w:val="en-US" w:eastAsia="zh-CN"/>
        </w:rPr>
        <w:t>师市商务局</w:t>
      </w:r>
      <w:r>
        <w:rPr>
          <w:rFonts w:hint="eastAsia" w:ascii="黑体" w:hAnsi="宋体" w:eastAsia="黑体"/>
        </w:rPr>
        <w:t>概况</w:t>
      </w:r>
    </w:p>
    <w:p>
      <w:pPr>
        <w:spacing w:line="560" w:lineRule="exact"/>
        <w:ind w:firstLine="627" w:firstLineChars="196"/>
        <w:rPr>
          <w:rFonts w:ascii="黑体" w:hAnsi="黑体" w:eastAsia="黑体"/>
        </w:rPr>
      </w:pPr>
      <w:r>
        <w:rPr>
          <w:rFonts w:hint="eastAsia" w:ascii="黑体" w:hAnsi="黑体" w:eastAsia="黑体"/>
        </w:rPr>
        <w:t>一、主要职责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w:t>
      </w:r>
      <w:r>
        <w:rPr>
          <w:rFonts w:hint="eastAsia" w:ascii="仿宋_GB2312" w:eastAsia="仿宋_GB2312"/>
          <w:sz w:val="32"/>
          <w:szCs w:val="32"/>
        </w:rPr>
        <w:t>贯彻执行国家和兵团内外贸易及国际经济技术合作的发展战略、政策；拟订师市国内外贸易、招商引资、对外经济合作、外商投资、对外投资、开发区改革创新等商务领域相关发展政策并组织实施；研究“一带一路”建设、区域经济合作、现代流通方式的发展趋势和流通体制改革并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2.</w:t>
      </w:r>
      <w:r>
        <w:rPr>
          <w:rFonts w:hint="eastAsia" w:ascii="仿宋_GB2312" w:eastAsia="仿宋_GB2312"/>
          <w:sz w:val="32"/>
          <w:szCs w:val="32"/>
        </w:rPr>
        <w:t>负责推进师市流通产业结构调整，指导流通企业改革，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商贸服务业和社区商业发展，提出促进商贸中小企业发展的政策建议，推动流通标准化和连锁经营、商业特许经营、物流配送、电子商务等现代流通方式的发展。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3.</w:t>
      </w:r>
      <w:r>
        <w:rPr>
          <w:rFonts w:hint="eastAsia" w:ascii="仿宋_GB2312" w:eastAsia="仿宋_GB2312"/>
          <w:sz w:val="32"/>
          <w:szCs w:val="32"/>
        </w:rPr>
        <w:t>拟订师市贸易发展规划，促进师市流通市场发展，执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行引导国内外资金投向市场体系建设的政策，指导大宗产品批发市场规划和城市商业网点规划、商业体系建设工作，推进师市市场体系建设，完善师市现代流通网络。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4.</w:t>
      </w:r>
      <w:r>
        <w:rPr>
          <w:rFonts w:hint="eastAsia" w:ascii="仿宋_GB2312" w:eastAsia="仿宋_GB2312"/>
          <w:sz w:val="32"/>
          <w:szCs w:val="32"/>
        </w:rPr>
        <w:t>承担牵头协调师市整顿和规范市场经济秩序工作的责任，拟订规范市场运行、流通秩序的政策，推动商务领域信用建设，指导商业信用销售；建立市场诚信公共服务平台，按有关规定对特殊流通行业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5.</w:t>
      </w:r>
      <w:r>
        <w:rPr>
          <w:rFonts w:hint="eastAsia" w:ascii="仿宋_GB2312" w:eastAsia="仿宋_GB2312"/>
          <w:sz w:val="32"/>
          <w:szCs w:val="32"/>
        </w:rPr>
        <w:t>承担组织实施重要消费品市场调控和重要生产资料流通管理的责任，负责建立健全生活必需品市场供应应急管理机制，监测分析市场运行、商品供求状况，调查分析商品价格信息并进行预测预警和信息引导；按分工负责重要商品储备管理和市场调控工作；按有关规定对成品油流通环节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6.</w:t>
      </w:r>
      <w:r>
        <w:rPr>
          <w:rFonts w:hint="eastAsia" w:ascii="仿宋_GB2312" w:eastAsia="仿宋_GB2312"/>
          <w:sz w:val="32"/>
          <w:szCs w:val="32"/>
        </w:rPr>
        <w:t>组织实施国家进出口商品、加工贸易管理办法和进出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口管理商品、技术目录，拟订促进外贸增长方式转变的政策措施；组织实施重要工业品、原材料和重要农产品进出口师市配额计划，会同有关部门执行大宗进出口商品政策，协调贸易促进活动和推进外贸促进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7.</w:t>
      </w:r>
      <w:r>
        <w:rPr>
          <w:rFonts w:hint="eastAsia" w:ascii="仿宋_GB2312" w:eastAsia="仿宋_GB2312"/>
          <w:sz w:val="32"/>
          <w:szCs w:val="32"/>
        </w:rPr>
        <w:t>组织实施国家和兵团对外技术贸易、出口管制以及鼓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励技术和成套设备进出口的贸易政策，推进师市进出口贸易标准化工作；依法监督技术引进、设备进口、国家限制出口技术的工作。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8.</w:t>
      </w:r>
      <w:r>
        <w:rPr>
          <w:rFonts w:hint="eastAsia" w:ascii="仿宋_GB2312" w:eastAsia="仿宋_GB2312"/>
          <w:sz w:val="32"/>
          <w:szCs w:val="32"/>
        </w:rPr>
        <w:t>牵头拟订师市服务贸易发展规划并开展相关工作；负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责会展业促进与管理工作。会同有关部门制订促进服务出口和服务外包的规划、政策并组织实施，推动服务外包平台建设。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9.</w:t>
      </w:r>
      <w:r>
        <w:rPr>
          <w:rFonts w:hint="eastAsia" w:ascii="仿宋_GB2312" w:eastAsia="仿宋_GB2312"/>
          <w:sz w:val="32"/>
          <w:szCs w:val="32"/>
        </w:rPr>
        <w:t>贯彻执行国家和兵团有关边境贸易的各项政策并组织实施；负责边境贸易有关经营资质的管理工作；负责边民互市贸易的相关协调工作；承担有关周边国家经贸合作地方协调机制的工作；推动协调师市企业同周边国家、中东欧国家及一带一路沿线国家多方面合作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10.</w:t>
      </w:r>
      <w:r>
        <w:rPr>
          <w:rFonts w:hint="eastAsia" w:ascii="仿宋_GB2312" w:eastAsia="仿宋_GB2312"/>
          <w:sz w:val="32"/>
          <w:szCs w:val="32"/>
        </w:rPr>
        <w:t>组织协调反倾销、反补贴、保障措施及其他与进出口公平贸易相关的工作，建立进出口公平贸易及产业损害预警机制；依法实施对外贸易调查和产业损害调查，协调产业安全应对工作及国外对师市出口商品的反倾销、反补贴、保障措施的应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11.</w:t>
      </w:r>
      <w:r>
        <w:rPr>
          <w:rFonts w:hint="eastAsia" w:ascii="仿宋_GB2312" w:eastAsia="仿宋_GB2312"/>
          <w:sz w:val="32"/>
          <w:szCs w:val="32"/>
        </w:rPr>
        <w:t>负责外商投资工作；拟订师市外商投资政策并组织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实施；依法监督检查外商投资企业执行有关法律法规规章、合同章程的情况并协调解决有关问题；承担师市外商投资安全审查工作；推动落实外商投资准入负面清单、外商投资产业指导目录；指导投资促进及外商投资企业审批工作，规范对外招商引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12.</w:t>
      </w:r>
      <w:r>
        <w:rPr>
          <w:rFonts w:hint="eastAsia" w:ascii="仿宋_GB2312" w:eastAsia="仿宋_GB2312"/>
          <w:sz w:val="32"/>
          <w:szCs w:val="32"/>
        </w:rPr>
        <w:t>负责对外经济合作工作；组织实施对外经济合作政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策，依法管理和监督对外承包工程、对外劳务合作等，执行我国公民出境就业管理政策，负责协调外派劳务人员和境外就业人员的合法权益保护工作；拟订境外投资管理办法和具体政策；负责境内企业对外投资开办企业备案（金融企业除外）；管理有关国际组织无偿援助事务；归口管理对外援助有关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13.</w:t>
      </w:r>
      <w:r>
        <w:rPr>
          <w:rFonts w:hint="eastAsia" w:ascii="仿宋_GB2312" w:eastAsia="仿宋_GB2312"/>
          <w:sz w:val="32"/>
          <w:szCs w:val="32"/>
        </w:rPr>
        <w:t>制订电子商务发展规划和政策措施并组织实施；指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导企业信息化及运用电子商务开拓国内外市场；负责建立电子商务行业统计和评价体系，牵头推进电子商务支撑服务体系发展。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14.</w:t>
      </w:r>
      <w:r>
        <w:rPr>
          <w:rFonts w:hint="eastAsia" w:ascii="仿宋_GB2312" w:eastAsia="仿宋_GB2312"/>
          <w:sz w:val="32"/>
          <w:szCs w:val="32"/>
        </w:rPr>
        <w:t>研究起草、制订招商引资相关政策，编制招商引资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发展规划和年度计划；负责组织、协调、推进跨地区重大招商引资活动，联系指导各团镇、各行业及开发区的有关招商引资工作；完善招商引资服务体系；负责招商引资信息的收集、分析发布等工作；负责招商引资统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15.</w:t>
      </w:r>
      <w:r>
        <w:rPr>
          <w:rFonts w:hint="eastAsia" w:ascii="仿宋_GB2312" w:eastAsia="仿宋_GB2312"/>
          <w:sz w:val="32"/>
          <w:szCs w:val="32"/>
        </w:rPr>
        <w:t>负责推进师市各类国家级和省级开发区体质机制改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革、整合扩区升级、促进园区产业集聚转型发展等工作；协调边境经济合作区、跨境经贸合作区的有关工作。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sz w:val="32"/>
          <w:szCs w:val="32"/>
          <w:lang w:val="en-US" w:eastAsia="zh-CN"/>
        </w:rPr>
        <w:t>16.</w:t>
      </w:r>
      <w:r>
        <w:rPr>
          <w:rFonts w:hint="eastAsia" w:ascii="仿宋_GB2312" w:eastAsia="仿宋_GB2312"/>
          <w:sz w:val="32"/>
          <w:szCs w:val="32"/>
        </w:rPr>
        <w:t>完成师市党委、师市交办的其他任务。</w:t>
      </w:r>
    </w:p>
    <w:p>
      <w:pPr>
        <w:spacing w:line="560" w:lineRule="exact"/>
        <w:ind w:firstLine="640" w:firstLineChars="200"/>
        <w:rPr>
          <w:rFonts w:ascii="黑体" w:hAnsi="黑体" w:eastAsia="黑体"/>
        </w:rPr>
      </w:pPr>
      <w:r>
        <w:rPr>
          <w:rFonts w:hint="eastAsia" w:ascii="黑体" w:hAnsi="黑体" w:eastAsia="黑体"/>
        </w:rPr>
        <w:t>二、内设机构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宋体" w:eastAsia="楷体_GB2312"/>
          <w:b/>
        </w:rPr>
      </w:pPr>
      <w:r>
        <w:rPr>
          <w:rFonts w:hint="eastAsia" w:ascii="仿宋_GB2312" w:hAnsi="仿宋_GB2312" w:eastAsia="仿宋_GB2312" w:cs="仿宋_GB2312"/>
          <w:sz w:val="32"/>
          <w:szCs w:val="32"/>
        </w:rPr>
        <w:t>根据《</w:t>
      </w:r>
      <w:r>
        <w:rPr>
          <w:rFonts w:hint="eastAsia" w:ascii="仿宋_GB2312" w:hAnsi="仿宋_GB2312" w:eastAsia="仿宋_GB2312" w:cs="仿宋_GB2312"/>
          <w:spacing w:val="-2"/>
          <w:sz w:val="32"/>
          <w:szCs w:val="32"/>
        </w:rPr>
        <w:t>师市党委办公</w:t>
      </w:r>
      <w:r>
        <w:rPr>
          <w:rFonts w:hint="eastAsia" w:ascii="仿宋_GB2312" w:hAnsi="仿宋_GB2312" w:eastAsia="仿宋_GB2312" w:cs="仿宋_GB2312"/>
          <w:sz w:val="32"/>
          <w:szCs w:val="32"/>
        </w:rPr>
        <w:t>室</w:t>
      </w:r>
      <w:r>
        <w:rPr>
          <w:rFonts w:hint="eastAsia" w:ascii="仿宋_GB2312" w:hAnsi="仿宋_GB2312" w:eastAsia="仿宋_GB2312" w:cs="仿宋_GB2312"/>
          <w:spacing w:val="-3"/>
          <w:sz w:val="32"/>
          <w:szCs w:val="32"/>
        </w:rPr>
        <w:t xml:space="preserve"> </w:t>
      </w:r>
      <w:r>
        <w:rPr>
          <w:rFonts w:hint="eastAsia" w:ascii="仿宋_GB2312" w:hAnsi="仿宋_GB2312" w:eastAsia="仿宋_GB2312" w:cs="仿宋_GB2312"/>
          <w:spacing w:val="-2"/>
          <w:sz w:val="32"/>
          <w:szCs w:val="32"/>
        </w:rPr>
        <w:t>师市办公</w:t>
      </w:r>
      <w:r>
        <w:rPr>
          <w:rFonts w:hint="eastAsia" w:ascii="仿宋_GB2312" w:hAnsi="仿宋_GB2312" w:eastAsia="仿宋_GB2312" w:cs="仿宋_GB2312"/>
          <w:sz w:val="32"/>
          <w:szCs w:val="32"/>
        </w:rPr>
        <w:t>室</w:t>
      </w:r>
      <w:r>
        <w:rPr>
          <w:rFonts w:hint="eastAsia" w:ascii="仿宋_GB2312" w:hAnsi="仿宋_GB2312" w:eastAsia="仿宋_GB2312" w:cs="仿宋_GB2312"/>
          <w:spacing w:val="-2"/>
          <w:sz w:val="32"/>
          <w:szCs w:val="32"/>
        </w:rPr>
        <w:t>关于印发</w:t>
      </w:r>
      <w:r>
        <w:rPr>
          <w:rFonts w:hint="eastAsia" w:ascii="仿宋_GB2312" w:hAnsi="仿宋_GB2312" w:cs="仿宋_GB2312"/>
          <w:spacing w:val="-2"/>
          <w:sz w:val="32"/>
          <w:szCs w:val="32"/>
          <w:lang w:val="en-US" w:eastAsia="zh-CN"/>
        </w:rPr>
        <w:t>&lt;</w:t>
      </w:r>
      <w:r>
        <w:rPr>
          <w:rFonts w:hint="eastAsia" w:ascii="仿宋_GB2312" w:hAnsi="仿宋_GB2312" w:eastAsia="仿宋_GB2312" w:cs="仿宋_GB2312"/>
          <w:spacing w:val="-2"/>
          <w:sz w:val="32"/>
          <w:szCs w:val="32"/>
        </w:rPr>
        <w:t>新疆生产建设兵团第一师商务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rPr>
        <w:drawing>
          <wp:anchor distT="0" distB="0" distL="0" distR="0" simplePos="0" relativeHeight="1024" behindDoc="1" locked="0" layoutInCell="1" allowOverlap="1">
            <wp:simplePos x="0" y="0"/>
            <wp:positionH relativeFrom="page">
              <wp:posOffset>3624580</wp:posOffset>
            </wp:positionH>
            <wp:positionV relativeFrom="page">
              <wp:posOffset>5815965</wp:posOffset>
            </wp:positionV>
            <wp:extent cx="50800" cy="184150"/>
            <wp:effectExtent l="0" t="0" r="0" b="0"/>
            <wp:wrapNone/>
            <wp:docPr id="1038" name="1038"/>
            <wp:cNvGraphicFramePr/>
            <a:graphic xmlns:a="http://schemas.openxmlformats.org/drawingml/2006/main">
              <a:graphicData uri="http://schemas.openxmlformats.org/drawingml/2006/picture">
                <pic:pic xmlns:pic="http://schemas.openxmlformats.org/drawingml/2006/picture">
                  <pic:nvPicPr>
                    <pic:cNvPr id="1038" name="1038"/>
                    <pic:cNvPicPr/>
                  </pic:nvPicPr>
                  <pic:blipFill>
                    <a:blip r:embed="rId6">
                      <a:clrChange>
                        <a:clrFrom>
                          <a:srgbClr val="FFFFFF"/>
                        </a:clrFrom>
                        <a:clrTo>
                          <a:srgbClr val="FFFFFF">
                            <a:alpha val="0"/>
                          </a:srgbClr>
                        </a:clrTo>
                      </a:clrChange>
                    </a:blip>
                    <a:stretch>
                      <a:fillRect/>
                    </a:stretch>
                  </pic:blipFill>
                  <pic:spPr>
                    <a:xfrm>
                      <a:off x="0" y="0"/>
                      <a:ext cx="50800" cy="184150"/>
                    </a:xfrm>
                    <a:prstGeom prst="rect">
                      <a:avLst/>
                    </a:prstGeom>
                    <a:ln>
                      <a:noFill/>
                    </a:ln>
                  </pic:spPr>
                </pic:pic>
              </a:graphicData>
            </a:graphic>
          </wp:anchor>
        </w:drawing>
      </w:r>
      <w:r>
        <w:rPr>
          <w:rFonts w:hint="eastAsia" w:ascii="仿宋_GB2312" w:hAnsi="仿宋_GB2312" w:eastAsia="仿宋_GB2312" w:cs="仿宋_GB2312"/>
          <w:spacing w:val="-2"/>
          <w:sz w:val="32"/>
          <w:szCs w:val="32"/>
        </w:rPr>
        <w:t>（阿拉尔市商务局）职能配置、内设机构</w:t>
      </w:r>
      <w:r>
        <w:rPr>
          <w:rFonts w:hint="eastAsia" w:ascii="仿宋_GB2312" w:hAnsi="仿宋_GB2312" w:eastAsia="仿宋_GB2312" w:cs="仿宋_GB2312"/>
          <w:sz w:val="32"/>
          <w:szCs w:val="32"/>
        </w:rPr>
        <w:t>和</w:t>
      </w:r>
      <w:r>
        <w:rPr>
          <w:rFonts w:hint="eastAsia" w:ascii="仿宋_GB2312" w:hAnsi="仿宋_GB2312" w:eastAsia="仿宋_GB2312" w:cs="仿宋_GB2312"/>
          <w:spacing w:val="-2"/>
          <w:sz w:val="32"/>
          <w:szCs w:val="32"/>
        </w:rPr>
        <w:t>人员编制规定</w:t>
      </w:r>
      <w:r>
        <w:rPr>
          <w:rFonts w:hint="eastAsia" w:ascii="仿宋_GB2312" w:hAnsi="仿宋_GB2312" w:cs="仿宋_GB2312"/>
          <w:spacing w:val="-2"/>
          <w:sz w:val="32"/>
          <w:szCs w:val="32"/>
          <w:lang w:val="en-US" w:eastAsia="zh-CN"/>
        </w:rPr>
        <w:t>&gt;</w:t>
      </w:r>
      <w:r>
        <w:rPr>
          <w:rFonts w:hint="eastAsia" w:ascii="仿宋_GB2312" w:hAnsi="仿宋_GB2312" w:eastAsia="仿宋_GB2312" w:cs="仿宋_GB2312"/>
          <w:spacing w:val="-2"/>
          <w:sz w:val="32"/>
          <w:szCs w:val="32"/>
        </w:rPr>
        <w:t>的通</w:t>
      </w:r>
      <w:r>
        <w:rPr>
          <w:rFonts w:hint="eastAsia" w:ascii="仿宋_GB2312" w:hAnsi="仿宋_GB2312" w:eastAsia="仿宋_GB2312" w:cs="仿宋_GB2312"/>
          <w:sz w:val="32"/>
          <w:szCs w:val="32"/>
        </w:rPr>
        <w:t>知》（师市</w:t>
      </w:r>
      <w:r>
        <w:rPr>
          <w:rFonts w:hint="eastAsia" w:ascii="仿宋_GB2312" w:hAnsi="仿宋_GB2312" w:cs="仿宋_GB2312"/>
          <w:sz w:val="32"/>
          <w:szCs w:val="32"/>
          <w:lang w:val="en-US" w:eastAsia="zh-CN"/>
        </w:rPr>
        <w:t>党办字</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36</w:t>
      </w:r>
      <w:r>
        <w:rPr>
          <w:rFonts w:hint="eastAsia" w:ascii="仿宋_GB2312" w:hAnsi="仿宋_GB2312" w:eastAsia="仿宋_GB2312" w:cs="仿宋_GB2312"/>
          <w:sz w:val="32"/>
          <w:szCs w:val="32"/>
        </w:rPr>
        <w:t>号）文件</w:t>
      </w:r>
      <w:r>
        <w:rPr>
          <w:rFonts w:hint="eastAsia" w:ascii="仿宋_GB2312" w:hAnsi="宋体"/>
        </w:rPr>
        <w:t>，核定</w:t>
      </w:r>
      <w:r>
        <w:rPr>
          <w:rFonts w:hint="eastAsia" w:ascii="仿宋_GB2312" w:hAnsi="宋体"/>
          <w:lang w:val="en-US" w:eastAsia="zh-CN"/>
        </w:rPr>
        <w:t>行政</w:t>
      </w:r>
      <w:r>
        <w:rPr>
          <w:rFonts w:hint="eastAsia" w:ascii="仿宋_GB2312" w:hAnsi="宋体"/>
        </w:rPr>
        <w:t>编制</w:t>
      </w:r>
      <w:r>
        <w:rPr>
          <w:rFonts w:hint="eastAsia" w:ascii="仿宋_GB2312" w:hAnsi="宋体"/>
          <w:lang w:val="en-US" w:eastAsia="zh-CN"/>
        </w:rPr>
        <w:t>10</w:t>
      </w:r>
      <w:r>
        <w:rPr>
          <w:rFonts w:hint="eastAsia" w:ascii="仿宋_GB2312" w:hAnsi="宋体"/>
        </w:rPr>
        <w:t>名，</w:t>
      </w:r>
      <w:r>
        <w:rPr>
          <w:rFonts w:hint="eastAsia" w:ascii="仿宋_GB2312" w:hAnsi="宋体"/>
          <w:lang w:val="en-US" w:eastAsia="zh-CN"/>
        </w:rPr>
        <w:t>退休人员12名。</w:t>
      </w:r>
      <w:r>
        <w:rPr>
          <w:rFonts w:hint="eastAsia" w:ascii="仿宋_GB2312" w:hAnsi="宋体"/>
        </w:rPr>
        <w:t>其中：</w:t>
      </w:r>
      <w:r>
        <w:rPr>
          <w:rFonts w:hint="default" w:ascii="仿宋_GB2312" w:hAnsi="仿宋_GB2312" w:eastAsia="仿宋_GB2312" w:cs="仿宋_GB2312"/>
          <w:spacing w:val="-6"/>
          <w:sz w:val="32"/>
        </w:rPr>
        <w:t>处</w:t>
      </w:r>
      <w:r>
        <w:rPr>
          <w:rFonts w:hint="default" w:ascii="仿宋_GB2312" w:hAnsi="仿宋_GB2312" w:eastAsia="仿宋_GB2312" w:cs="仿宋_GB2312"/>
          <w:spacing w:val="-5"/>
          <w:sz w:val="32"/>
        </w:rPr>
        <w:t>级</w:t>
      </w:r>
      <w:r>
        <w:rPr>
          <w:rFonts w:hint="default" w:ascii="仿宋_GB2312" w:hAnsi="仿宋_GB2312" w:eastAsia="仿宋_GB2312" w:cs="仿宋_GB2312"/>
          <w:spacing w:val="-6"/>
          <w:sz w:val="32"/>
        </w:rPr>
        <w:t>领</w:t>
      </w:r>
      <w:r>
        <w:rPr>
          <w:rFonts w:hint="default" w:ascii="仿宋_GB2312" w:hAnsi="仿宋_GB2312" w:eastAsia="仿宋_GB2312" w:cs="仿宋_GB2312"/>
          <w:spacing w:val="-5"/>
          <w:sz w:val="32"/>
        </w:rPr>
        <w:t>导职</w:t>
      </w:r>
      <w:r>
        <w:rPr>
          <w:rFonts w:hint="default" w:ascii="仿宋_GB2312" w:hAnsi="仿宋_GB2312" w:eastAsia="仿宋_GB2312" w:cs="仿宋_GB2312"/>
          <w:spacing w:val="36"/>
          <w:sz w:val="32"/>
        </w:rPr>
        <w:t>数</w:t>
      </w:r>
      <w:r>
        <w:rPr>
          <w:rFonts w:hint="default" w:ascii="仿宋_GB2312" w:hAnsi="仿宋_GB2312" w:eastAsia="仿宋_GB2312" w:cs="仿宋_GB2312"/>
          <w:spacing w:val="-3"/>
          <w:sz w:val="32"/>
        </w:rPr>
        <w:t>3</w:t>
      </w:r>
      <w:r>
        <w:rPr>
          <w:rFonts w:hint="default" w:ascii="仿宋_GB2312" w:hAnsi="仿宋_GB2312" w:eastAsia="仿宋_GB2312" w:cs="仿宋_GB2312"/>
          <w:sz w:val="32"/>
        </w:rPr>
        <w:t xml:space="preserve"> </w:t>
      </w:r>
      <w:r>
        <w:rPr>
          <w:rFonts w:hint="default" w:ascii="仿宋_GB2312" w:hAnsi="仿宋_GB2312" w:eastAsia="仿宋_GB2312" w:cs="仿宋_GB2312"/>
          <w:spacing w:val="-2"/>
          <w:sz w:val="32"/>
        </w:rPr>
        <w:t>名，</w:t>
      </w:r>
      <w:r>
        <w:rPr>
          <w:rFonts w:hint="default" w:ascii="仿宋_GB2312" w:hAnsi="仿宋_GB2312" w:eastAsia="仿宋_GB2312" w:cs="仿宋_GB2312"/>
          <w:spacing w:val="-3"/>
          <w:sz w:val="32"/>
        </w:rPr>
        <w:t>科</w:t>
      </w:r>
      <w:r>
        <w:rPr>
          <w:rFonts w:hint="default" w:ascii="仿宋_GB2312" w:hAnsi="仿宋_GB2312" w:eastAsia="仿宋_GB2312" w:cs="仿宋_GB2312"/>
          <w:spacing w:val="-2"/>
          <w:sz w:val="32"/>
        </w:rPr>
        <w:t>级领</w:t>
      </w:r>
      <w:r>
        <w:rPr>
          <w:rFonts w:hint="default" w:ascii="仿宋_GB2312" w:hAnsi="仿宋_GB2312" w:eastAsia="仿宋_GB2312" w:cs="仿宋_GB2312"/>
          <w:spacing w:val="-3"/>
          <w:sz w:val="32"/>
        </w:rPr>
        <w:t>导职</w:t>
      </w:r>
      <w:r>
        <w:rPr>
          <w:rFonts w:hint="default" w:ascii="仿宋_GB2312" w:hAnsi="仿宋_GB2312" w:eastAsia="仿宋_GB2312" w:cs="仿宋_GB2312"/>
          <w:spacing w:val="39"/>
          <w:sz w:val="32"/>
        </w:rPr>
        <w:t>数</w:t>
      </w:r>
      <w:r>
        <w:rPr>
          <w:rFonts w:hint="default" w:ascii="仿宋_GB2312" w:hAnsi="仿宋_GB2312" w:eastAsia="仿宋_GB2312" w:cs="仿宋_GB2312"/>
          <w:spacing w:val="75"/>
          <w:sz w:val="32"/>
        </w:rPr>
        <w:t>3</w:t>
      </w:r>
      <w:r>
        <w:rPr>
          <w:rFonts w:hint="default" w:ascii="仿宋_GB2312" w:hAnsi="仿宋_GB2312" w:eastAsia="仿宋_GB2312" w:cs="仿宋_GB2312"/>
          <w:spacing w:val="-2"/>
          <w:sz w:val="32"/>
        </w:rPr>
        <w:t>名</w:t>
      </w:r>
      <w:r>
        <w:rPr>
          <w:rFonts w:hint="default" w:ascii="仿宋_GB2312" w:hAnsi="仿宋_GB2312" w:eastAsia="仿宋_GB2312" w:cs="仿宋_GB2312"/>
          <w:sz w:val="32"/>
        </w:rPr>
        <w:t>。</w:t>
      </w:r>
      <w:r>
        <w:rPr>
          <w:rFonts w:hint="eastAsia" w:ascii="仿宋_GB2312" w:hAnsi="宋体"/>
        </w:rPr>
        <w:t>部门内设科室</w:t>
      </w:r>
      <w:r>
        <w:rPr>
          <w:rFonts w:hint="eastAsia" w:ascii="仿宋_GB2312" w:hAnsi="宋体"/>
          <w:lang w:val="en-US" w:eastAsia="zh-CN"/>
        </w:rPr>
        <w:t>2</w:t>
      </w:r>
      <w:r>
        <w:rPr>
          <w:rFonts w:hint="eastAsia" w:ascii="仿宋_GB2312" w:hAnsi="宋体"/>
        </w:rPr>
        <w:t>个，</w:t>
      </w:r>
      <w:r>
        <w:rPr>
          <w:rFonts w:hint="eastAsia" w:ascii="仿宋_GB2312" w:hAnsi="宋体" w:eastAsia="仿宋_GB2312"/>
          <w:sz w:val="32"/>
          <w:szCs w:val="32"/>
        </w:rPr>
        <w:t>所属</w:t>
      </w:r>
      <w:r>
        <w:rPr>
          <w:rFonts w:hint="eastAsia" w:ascii="仿宋_GB2312" w:hAnsi="宋体" w:eastAsia="仿宋_GB2312"/>
          <w:sz w:val="32"/>
          <w:szCs w:val="32"/>
          <w:lang w:eastAsia="zh-CN"/>
        </w:rPr>
        <w:t>参公</w:t>
      </w:r>
      <w:r>
        <w:rPr>
          <w:rFonts w:hint="eastAsia" w:ascii="仿宋_GB2312" w:hAnsi="宋体" w:eastAsia="仿宋_GB2312"/>
          <w:sz w:val="32"/>
          <w:szCs w:val="32"/>
        </w:rPr>
        <w:t>事业单位</w:t>
      </w:r>
      <w:r>
        <w:rPr>
          <w:rFonts w:hint="default" w:ascii="仿宋_GB2312" w:hAnsi="宋体" w:eastAsia="仿宋_GB2312"/>
          <w:sz w:val="32"/>
          <w:szCs w:val="32"/>
          <w:lang w:val="en-US"/>
        </w:rPr>
        <w:t>1</w:t>
      </w:r>
      <w:r>
        <w:rPr>
          <w:rFonts w:hint="eastAsia" w:ascii="仿宋_GB2312" w:hAnsi="宋体" w:eastAsia="仿宋_GB2312"/>
          <w:sz w:val="32"/>
          <w:szCs w:val="32"/>
        </w:rPr>
        <w:t>个，阿拉尔市</w:t>
      </w:r>
      <w:r>
        <w:rPr>
          <w:rFonts w:hint="eastAsia" w:ascii="仿宋_GB2312" w:hAnsi="宋体" w:eastAsia="仿宋_GB2312"/>
          <w:sz w:val="32"/>
          <w:szCs w:val="32"/>
          <w:lang w:eastAsia="zh-CN"/>
        </w:rPr>
        <w:t>贸易综合执法大队</w:t>
      </w:r>
      <w:r>
        <w:rPr>
          <w:rFonts w:hint="eastAsia" w:ascii="仿宋_GB2312" w:hAnsi="宋体"/>
          <w:sz w:val="32"/>
          <w:szCs w:val="32"/>
          <w:lang w:eastAsia="zh-CN"/>
        </w:rPr>
        <w:t>，</w:t>
      </w:r>
      <w:r>
        <w:rPr>
          <w:rFonts w:hint="eastAsia" w:ascii="仿宋_GB2312" w:hAnsi="宋体" w:eastAsia="仿宋_GB2312"/>
          <w:sz w:val="32"/>
          <w:szCs w:val="32"/>
          <w:lang w:eastAsia="zh-CN"/>
        </w:rPr>
        <w:t>为师市商务局下属正科级规格全额拨款事业单位</w:t>
      </w:r>
      <w:r>
        <w:rPr>
          <w:rFonts w:hint="eastAsia" w:ascii="仿宋_GB2312" w:hAnsi="宋体" w:eastAsia="仿宋_GB2312"/>
          <w:sz w:val="32"/>
          <w:szCs w:val="32"/>
          <w:lang w:val="en-US" w:eastAsia="zh-CN"/>
        </w:rPr>
        <w:t>。</w:t>
      </w:r>
    </w:p>
    <w:p>
      <w:pPr>
        <w:spacing w:line="560" w:lineRule="exact"/>
        <w:jc w:val="center"/>
        <w:rPr>
          <w:rFonts w:ascii="黑体" w:hAnsi="黑体" w:eastAsia="黑体"/>
        </w:rPr>
      </w:pPr>
      <w:r>
        <w:rPr>
          <w:rFonts w:hint="eastAsia" w:ascii="黑体" w:hAnsi="黑体" w:eastAsia="黑体"/>
        </w:rPr>
        <w:t>第二部分 2020年部门预算表</w:t>
      </w:r>
    </w:p>
    <w:p>
      <w:pPr>
        <w:spacing w:line="560" w:lineRule="exact"/>
        <w:jc w:val="center"/>
        <w:rPr>
          <w:rFonts w:ascii="仿宋_GB2312" w:hAnsi="黑体"/>
        </w:rPr>
      </w:pPr>
      <w:r>
        <w:rPr>
          <w:rFonts w:hint="eastAsia" w:ascii="仿宋_GB2312" w:hAnsi="黑体"/>
        </w:rPr>
        <w:t>（见附件）</w:t>
      </w:r>
    </w:p>
    <w:p>
      <w:pPr>
        <w:spacing w:line="560" w:lineRule="exact"/>
        <w:jc w:val="center"/>
        <w:rPr>
          <w:rFonts w:ascii="黑体" w:hAnsi="黑体" w:eastAsia="黑体"/>
        </w:rPr>
      </w:pPr>
      <w:r>
        <w:rPr>
          <w:rFonts w:hint="eastAsia" w:ascii="黑体" w:hAnsi="黑体" w:eastAsia="黑体"/>
        </w:rPr>
        <w:t>第三部分 部门预算情况说明</w:t>
      </w:r>
    </w:p>
    <w:p>
      <w:pPr>
        <w:spacing w:line="560" w:lineRule="exact"/>
        <w:ind w:firstLine="640" w:firstLineChars="200"/>
        <w:rPr>
          <w:rFonts w:ascii="黑体" w:hAnsi="黑体" w:eastAsia="黑体"/>
        </w:rPr>
      </w:pPr>
      <w:r>
        <w:rPr>
          <w:rFonts w:hint="eastAsia" w:ascii="黑体" w:hAnsi="黑体" w:eastAsia="黑体"/>
        </w:rPr>
        <w:t>一、部门预算收支增减变动说明</w:t>
      </w:r>
    </w:p>
    <w:p>
      <w:pPr>
        <w:spacing w:line="560" w:lineRule="exact"/>
        <w:ind w:firstLine="640" w:firstLineChars="200"/>
        <w:rPr>
          <w:rFonts w:ascii="楷体_GB2312" w:hAnsi="宋体" w:eastAsia="楷体_GB2312"/>
        </w:rPr>
      </w:pPr>
      <w:r>
        <w:rPr>
          <w:rFonts w:hint="eastAsia" w:ascii="楷体_GB2312" w:hAnsi="宋体" w:eastAsia="楷体_GB2312"/>
        </w:rPr>
        <w:t>（一）收支总体情况</w:t>
      </w:r>
    </w:p>
    <w:p>
      <w:pPr>
        <w:spacing w:line="560" w:lineRule="exact"/>
        <w:ind w:firstLine="624" w:firstLineChars="200"/>
        <w:rPr>
          <w:rFonts w:ascii="仿宋_GB2312" w:hAnsi="宋体"/>
          <w:spacing w:val="-4"/>
          <w:highlight w:val="none"/>
        </w:rPr>
      </w:pPr>
      <w:r>
        <w:rPr>
          <w:rFonts w:hint="eastAsia" w:ascii="仿宋_GB2312" w:hAnsi="宋体"/>
          <w:spacing w:val="-4"/>
        </w:rPr>
        <w:t>2020年预算收入</w:t>
      </w:r>
      <w:r>
        <w:rPr>
          <w:rFonts w:hint="eastAsia" w:ascii="仿宋_GB2312" w:hAnsi="宋体"/>
          <w:spacing w:val="-4"/>
          <w:lang w:val="en-US" w:eastAsia="zh-CN"/>
        </w:rPr>
        <w:t>172.8</w:t>
      </w:r>
      <w:r>
        <w:rPr>
          <w:rFonts w:hint="eastAsia" w:ascii="仿宋_GB2312" w:hAnsi="宋体"/>
          <w:spacing w:val="-4"/>
        </w:rPr>
        <w:t>万元，较上年增加</w:t>
      </w:r>
      <w:r>
        <w:rPr>
          <w:rFonts w:hint="eastAsia" w:ascii="仿宋_GB2312" w:hAnsi="宋体"/>
          <w:spacing w:val="-4"/>
          <w:highlight w:val="none"/>
          <w:lang w:val="en-US" w:eastAsia="zh-CN"/>
        </w:rPr>
        <w:t>6.02</w:t>
      </w:r>
      <w:r>
        <w:rPr>
          <w:rFonts w:hint="eastAsia" w:ascii="仿宋_GB2312" w:hAnsi="宋体"/>
          <w:spacing w:val="-4"/>
          <w:highlight w:val="none"/>
        </w:rPr>
        <w:t>万元，增长</w:t>
      </w:r>
      <w:r>
        <w:rPr>
          <w:rFonts w:hint="eastAsia" w:ascii="仿宋_GB2312" w:hAnsi="宋体"/>
          <w:spacing w:val="-4"/>
          <w:highlight w:val="none"/>
          <w:lang w:val="en-US" w:eastAsia="zh-CN"/>
        </w:rPr>
        <w:t>3.6</w:t>
      </w:r>
      <w:r>
        <w:rPr>
          <w:rFonts w:hint="eastAsia" w:ascii="仿宋_GB2312" w:hAnsi="宋体"/>
          <w:spacing w:val="-4"/>
          <w:highlight w:val="none"/>
        </w:rPr>
        <w:t>%。其中：一般公共预算财政拨款</w:t>
      </w:r>
      <w:r>
        <w:rPr>
          <w:rFonts w:hint="eastAsia" w:ascii="仿宋_GB2312" w:hAnsi="宋体"/>
          <w:spacing w:val="-4"/>
          <w:highlight w:val="none"/>
          <w:lang w:val="en-US" w:eastAsia="zh-CN"/>
        </w:rPr>
        <w:t>172.8</w:t>
      </w:r>
      <w:r>
        <w:rPr>
          <w:rFonts w:hint="eastAsia" w:ascii="仿宋_GB2312" w:hAnsi="宋体"/>
          <w:spacing w:val="-4"/>
          <w:highlight w:val="none"/>
        </w:rPr>
        <w:t>万元，事业收入</w:t>
      </w:r>
      <w:r>
        <w:rPr>
          <w:rFonts w:hint="eastAsia" w:ascii="仿宋_GB2312" w:hAnsi="宋体"/>
          <w:spacing w:val="-4"/>
          <w:highlight w:val="none"/>
          <w:lang w:val="en-US" w:eastAsia="zh-CN"/>
        </w:rPr>
        <w:t>0</w:t>
      </w:r>
      <w:r>
        <w:rPr>
          <w:rFonts w:hint="eastAsia" w:ascii="仿宋_GB2312" w:hAnsi="宋体"/>
          <w:highlight w:val="none"/>
        </w:rPr>
        <w:t>万元，其他收入</w:t>
      </w:r>
      <w:r>
        <w:rPr>
          <w:rFonts w:hint="eastAsia" w:ascii="仿宋_GB2312" w:hAnsi="宋体"/>
          <w:spacing w:val="-4"/>
          <w:highlight w:val="none"/>
          <w:lang w:val="en-US" w:eastAsia="zh-CN"/>
        </w:rPr>
        <w:t>0</w:t>
      </w:r>
      <w:r>
        <w:rPr>
          <w:rFonts w:hint="eastAsia" w:ascii="仿宋_GB2312" w:hAnsi="宋体"/>
          <w:highlight w:val="none"/>
        </w:rPr>
        <w:t>万元，兵团专项补助</w:t>
      </w:r>
      <w:r>
        <w:rPr>
          <w:rFonts w:hint="eastAsia" w:ascii="仿宋_GB2312" w:hAnsi="宋体"/>
          <w:spacing w:val="-4"/>
          <w:highlight w:val="none"/>
          <w:lang w:val="en-US" w:eastAsia="zh-CN"/>
        </w:rPr>
        <w:t>0</w:t>
      </w:r>
      <w:r>
        <w:rPr>
          <w:rFonts w:hint="eastAsia" w:ascii="仿宋_GB2312" w:hAnsi="宋体"/>
          <w:highlight w:val="none"/>
        </w:rPr>
        <w:t>万元。</w:t>
      </w:r>
    </w:p>
    <w:p>
      <w:pPr>
        <w:spacing w:line="560" w:lineRule="exact"/>
        <w:ind w:firstLine="640" w:firstLineChars="200"/>
        <w:rPr>
          <w:rFonts w:ascii="仿宋_GB2312" w:hAnsi="宋体"/>
          <w:b/>
          <w:highlight w:val="none"/>
        </w:rPr>
      </w:pPr>
      <w:r>
        <w:rPr>
          <w:rFonts w:hint="eastAsia" w:ascii="仿宋_GB2312" w:hAnsi="宋体"/>
          <w:highlight w:val="none"/>
        </w:rPr>
        <w:t>按照收支平衡的原则，2020年预算支出</w:t>
      </w:r>
      <w:r>
        <w:rPr>
          <w:rFonts w:hint="eastAsia" w:ascii="仿宋_GB2312" w:hAnsi="宋体"/>
          <w:spacing w:val="-4"/>
          <w:highlight w:val="none"/>
          <w:lang w:val="en-US" w:eastAsia="zh-CN"/>
        </w:rPr>
        <w:t>172.8</w:t>
      </w:r>
      <w:r>
        <w:rPr>
          <w:rFonts w:hint="eastAsia" w:ascii="仿宋_GB2312" w:hAnsi="宋体"/>
          <w:highlight w:val="none"/>
        </w:rPr>
        <w:t>万元。</w:t>
      </w:r>
    </w:p>
    <w:p>
      <w:pPr>
        <w:spacing w:line="560" w:lineRule="exact"/>
        <w:ind w:firstLine="640" w:firstLineChars="200"/>
        <w:rPr>
          <w:rFonts w:ascii="楷体_GB2312" w:hAnsi="宋体" w:eastAsia="楷体_GB2312"/>
          <w:highlight w:val="none"/>
        </w:rPr>
      </w:pPr>
      <w:r>
        <w:rPr>
          <w:rFonts w:hint="eastAsia" w:ascii="楷体_GB2312" w:hAnsi="宋体" w:eastAsia="楷体_GB2312"/>
          <w:highlight w:val="none"/>
        </w:rPr>
        <w:t>（二）部门支出预算编制情况</w:t>
      </w:r>
    </w:p>
    <w:p>
      <w:pPr>
        <w:tabs>
          <w:tab w:val="left" w:pos="645"/>
        </w:tabs>
        <w:spacing w:line="560" w:lineRule="exact"/>
        <w:ind w:firstLine="632" w:firstLineChars="200"/>
        <w:rPr>
          <w:rFonts w:ascii="仿宋_GB2312" w:hAnsi="宋体"/>
          <w:spacing w:val="-2"/>
          <w:kern w:val="0"/>
        </w:rPr>
      </w:pPr>
      <w:r>
        <w:rPr>
          <w:rFonts w:hint="eastAsia" w:ascii="仿宋_GB2312" w:hAnsi="宋体"/>
          <w:spacing w:val="-2"/>
          <w:kern w:val="0"/>
          <w:highlight w:val="none"/>
        </w:rPr>
        <w:t>2020年部门支出预算</w:t>
      </w:r>
      <w:r>
        <w:rPr>
          <w:rFonts w:hint="eastAsia" w:ascii="仿宋_GB2312" w:hAnsi="宋体"/>
          <w:spacing w:val="-2"/>
          <w:kern w:val="0"/>
          <w:highlight w:val="none"/>
          <w:lang w:val="en-US" w:eastAsia="zh-CN"/>
        </w:rPr>
        <w:t>172.8</w:t>
      </w:r>
      <w:r>
        <w:rPr>
          <w:rFonts w:hint="eastAsia" w:ascii="仿宋_GB2312" w:hAnsi="宋体"/>
          <w:spacing w:val="-2"/>
          <w:kern w:val="0"/>
          <w:highlight w:val="none"/>
        </w:rPr>
        <w:t>万元，较上年增加</w:t>
      </w:r>
      <w:r>
        <w:rPr>
          <w:rFonts w:hint="eastAsia" w:ascii="仿宋_GB2312" w:hAnsi="宋体"/>
          <w:spacing w:val="-2"/>
          <w:kern w:val="0"/>
          <w:highlight w:val="none"/>
          <w:lang w:val="en-US" w:eastAsia="zh-CN"/>
        </w:rPr>
        <w:t>6.02</w:t>
      </w:r>
      <w:r>
        <w:rPr>
          <w:rFonts w:hint="eastAsia" w:ascii="仿宋_GB2312" w:hAnsi="宋体"/>
          <w:spacing w:val="-2"/>
          <w:kern w:val="0"/>
          <w:highlight w:val="none"/>
        </w:rPr>
        <w:t>万元，增长</w:t>
      </w:r>
      <w:r>
        <w:rPr>
          <w:rFonts w:hint="eastAsia" w:ascii="仿宋_GB2312" w:hAnsi="宋体"/>
          <w:spacing w:val="-2"/>
          <w:kern w:val="0"/>
          <w:highlight w:val="none"/>
          <w:lang w:val="en-US" w:eastAsia="zh-CN"/>
        </w:rPr>
        <w:t>3.6</w:t>
      </w:r>
      <w:r>
        <w:rPr>
          <w:rFonts w:hint="eastAsia" w:ascii="仿宋_GB2312" w:hAnsi="宋体"/>
          <w:spacing w:val="-2"/>
          <w:kern w:val="0"/>
          <w:highlight w:val="none"/>
        </w:rPr>
        <w:t>%。其中：基本支出</w:t>
      </w:r>
      <w:r>
        <w:rPr>
          <w:rFonts w:hint="eastAsia" w:ascii="仿宋_GB2312" w:hAnsi="宋体"/>
          <w:spacing w:val="-2"/>
          <w:kern w:val="0"/>
          <w:highlight w:val="none"/>
          <w:lang w:val="en-US" w:eastAsia="zh-CN"/>
        </w:rPr>
        <w:t>172.8</w:t>
      </w:r>
      <w:r>
        <w:rPr>
          <w:rFonts w:hint="eastAsia" w:ascii="仿宋_GB2312" w:hAnsi="宋体"/>
          <w:spacing w:val="-2"/>
          <w:kern w:val="0"/>
          <w:highlight w:val="none"/>
        </w:rPr>
        <w:t>万元，项目支出</w:t>
      </w:r>
      <w:r>
        <w:rPr>
          <w:rFonts w:hint="eastAsia" w:ascii="仿宋_GB2312" w:hAnsi="宋体"/>
          <w:spacing w:val="-2"/>
          <w:kern w:val="0"/>
          <w:highlight w:val="none"/>
          <w:lang w:val="en-US" w:eastAsia="zh-CN"/>
        </w:rPr>
        <w:t>0</w:t>
      </w:r>
      <w:r>
        <w:rPr>
          <w:rFonts w:hint="eastAsia" w:ascii="仿宋_GB2312" w:hAnsi="宋体"/>
          <w:spacing w:val="-2"/>
          <w:kern w:val="0"/>
          <w:highlight w:val="none"/>
        </w:rPr>
        <w:t>万元</w:t>
      </w:r>
      <w:r>
        <w:rPr>
          <w:rFonts w:hint="eastAsia" w:ascii="仿宋_GB2312" w:hAnsi="宋体"/>
          <w:spacing w:val="-2"/>
          <w:kern w:val="0"/>
        </w:rPr>
        <w:t>。</w:t>
      </w:r>
    </w:p>
    <w:p>
      <w:pPr>
        <w:tabs>
          <w:tab w:val="left" w:pos="360"/>
        </w:tabs>
        <w:spacing w:line="560" w:lineRule="exact"/>
        <w:ind w:left="1" w:firstLine="793" w:firstLineChars="250"/>
        <w:rPr>
          <w:rFonts w:ascii="仿宋_GB2312"/>
          <w:b/>
          <w:spacing w:val="-2"/>
          <w:kern w:val="0"/>
        </w:rPr>
      </w:pPr>
      <w:r>
        <w:rPr>
          <w:rFonts w:hint="eastAsia" w:ascii="仿宋_GB2312" w:hAnsi="宋体"/>
          <w:b/>
          <w:spacing w:val="-2"/>
          <w:kern w:val="0"/>
        </w:rPr>
        <w:t>1.基本支出</w:t>
      </w:r>
      <w:r>
        <w:rPr>
          <w:rFonts w:hint="eastAsia" w:ascii="仿宋_GB2312" w:hAnsi="宋体"/>
          <w:b/>
          <w:spacing w:val="-2"/>
          <w:kern w:val="0"/>
          <w:lang w:val="en-US" w:eastAsia="zh-CN"/>
        </w:rPr>
        <w:t>172.8</w:t>
      </w:r>
      <w:r>
        <w:rPr>
          <w:rFonts w:hint="eastAsia" w:ascii="仿宋_GB2312" w:hAnsi="宋体"/>
          <w:b/>
          <w:spacing w:val="-2"/>
          <w:kern w:val="0"/>
        </w:rPr>
        <w:t>万元</w:t>
      </w:r>
      <w:r>
        <w:rPr>
          <w:rFonts w:hint="eastAsia" w:ascii="仿宋_GB2312" w:hAnsi="宋体"/>
          <w:spacing w:val="-2"/>
          <w:kern w:val="0"/>
        </w:rPr>
        <w:t>，</w:t>
      </w:r>
      <w:r>
        <w:rPr>
          <w:rFonts w:hint="eastAsia" w:ascii="仿宋_GB2312"/>
          <w:b/>
          <w:spacing w:val="-2"/>
          <w:kern w:val="0"/>
        </w:rPr>
        <w:t>其中：工资福利支出</w:t>
      </w:r>
      <w:r>
        <w:rPr>
          <w:rFonts w:hint="eastAsia" w:ascii="仿宋_GB2312"/>
          <w:spacing w:val="-2"/>
          <w:kern w:val="0"/>
          <w:lang w:val="en-US" w:eastAsia="zh-CN"/>
        </w:rPr>
        <w:t>146.02</w:t>
      </w:r>
      <w:r>
        <w:rPr>
          <w:rFonts w:hint="eastAsia" w:ascii="仿宋_GB2312"/>
          <w:spacing w:val="-2"/>
          <w:kern w:val="0"/>
        </w:rPr>
        <w:t>万元，主要用于人员工资、津贴、奖金、社会保障缴费、养老保险、职业年金等开支。</w:t>
      </w:r>
      <w:r>
        <w:rPr>
          <w:rFonts w:hint="eastAsia" w:ascii="仿宋_GB2312"/>
          <w:b/>
          <w:spacing w:val="-2"/>
          <w:kern w:val="0"/>
        </w:rPr>
        <w:t>商品和服务支出</w:t>
      </w:r>
      <w:r>
        <w:rPr>
          <w:rFonts w:hint="eastAsia" w:ascii="仿宋_GB2312"/>
          <w:spacing w:val="-2"/>
          <w:kern w:val="0"/>
          <w:lang w:val="en-US" w:eastAsia="zh-CN"/>
        </w:rPr>
        <w:t>11.64</w:t>
      </w:r>
      <w:r>
        <w:rPr>
          <w:rFonts w:hint="eastAsia" w:ascii="仿宋_GB2312"/>
          <w:spacing w:val="-2"/>
          <w:kern w:val="0"/>
        </w:rPr>
        <w:t>万元，主要用于办公费、水电费、取暖费、差旅费、培训费等正常运转经费的开支。</w:t>
      </w:r>
      <w:r>
        <w:rPr>
          <w:rFonts w:hint="eastAsia" w:ascii="仿宋_GB2312"/>
          <w:b/>
          <w:spacing w:val="-2"/>
          <w:kern w:val="0"/>
        </w:rPr>
        <w:t>对个人和家庭补助支出</w:t>
      </w:r>
      <w:r>
        <w:rPr>
          <w:rFonts w:hint="eastAsia" w:ascii="仿宋_GB2312"/>
          <w:spacing w:val="-2"/>
          <w:kern w:val="0"/>
          <w:lang w:val="en-US" w:eastAsia="zh-CN"/>
        </w:rPr>
        <w:t>13.34</w:t>
      </w:r>
      <w:r>
        <w:rPr>
          <w:rFonts w:hint="eastAsia" w:ascii="仿宋_GB2312"/>
          <w:spacing w:val="-2"/>
          <w:kern w:val="0"/>
        </w:rPr>
        <w:t>万元，主要用于住房公积金、医疗费、采暖补贴开支。</w:t>
      </w:r>
      <w:r>
        <w:rPr>
          <w:rFonts w:hint="eastAsia" w:ascii="仿宋_GB2312"/>
          <w:b/>
          <w:spacing w:val="-2"/>
          <w:kern w:val="0"/>
        </w:rPr>
        <w:t>资本性支出</w:t>
      </w:r>
      <w:r>
        <w:rPr>
          <w:rFonts w:hint="eastAsia" w:ascii="仿宋_GB2312"/>
          <w:spacing w:val="-2"/>
          <w:kern w:val="0"/>
          <w:lang w:val="en-US" w:eastAsia="zh-CN"/>
        </w:rPr>
        <w:t>1.8</w:t>
      </w:r>
      <w:r>
        <w:rPr>
          <w:rFonts w:hint="eastAsia" w:ascii="仿宋_GB2312"/>
          <w:spacing w:val="-2"/>
          <w:kern w:val="0"/>
        </w:rPr>
        <w:t>万元，主要用于设备采购，形成资产等方面支出。</w:t>
      </w:r>
    </w:p>
    <w:p>
      <w:pPr>
        <w:tabs>
          <w:tab w:val="left" w:pos="645"/>
        </w:tabs>
        <w:spacing w:line="560" w:lineRule="exact"/>
        <w:ind w:firstLine="632" w:firstLineChars="200"/>
        <w:rPr>
          <w:rFonts w:ascii="仿宋_GB2312" w:hAnsi="宋体"/>
          <w:spacing w:val="-2"/>
          <w:kern w:val="0"/>
        </w:rPr>
      </w:pPr>
      <w:r>
        <w:rPr>
          <w:rFonts w:hint="eastAsia" w:ascii="仿宋_GB2312" w:hAnsi="宋体"/>
          <w:spacing w:val="-2"/>
          <w:kern w:val="0"/>
        </w:rPr>
        <w:t>基本支出较上年增加</w:t>
      </w:r>
      <w:r>
        <w:rPr>
          <w:rFonts w:hint="eastAsia" w:ascii="仿宋_GB2312" w:hAnsi="宋体"/>
          <w:spacing w:val="-2"/>
          <w:kern w:val="0"/>
          <w:lang w:val="en-US" w:eastAsia="zh-CN"/>
        </w:rPr>
        <w:t>6.02</w:t>
      </w:r>
      <w:r>
        <w:rPr>
          <w:rFonts w:hint="eastAsia" w:ascii="仿宋_GB2312" w:hAnsi="宋体"/>
          <w:spacing w:val="-2"/>
          <w:kern w:val="0"/>
        </w:rPr>
        <w:t>万元，增长</w:t>
      </w:r>
      <w:r>
        <w:rPr>
          <w:rFonts w:hint="eastAsia" w:ascii="仿宋_GB2312" w:hAnsi="宋体"/>
          <w:spacing w:val="-2"/>
          <w:kern w:val="0"/>
          <w:lang w:val="en-US" w:eastAsia="zh-CN"/>
        </w:rPr>
        <w:t>3.6</w:t>
      </w:r>
      <w:r>
        <w:rPr>
          <w:rFonts w:hint="eastAsia" w:ascii="仿宋_GB2312" w:hAnsi="宋体"/>
          <w:spacing w:val="-2"/>
          <w:kern w:val="0"/>
        </w:rPr>
        <w:t>%，主要原因是</w:t>
      </w:r>
      <w:r>
        <w:rPr>
          <w:rFonts w:hint="eastAsia" w:ascii="仿宋_GB2312" w:hAnsi="宋体"/>
          <w:spacing w:val="-2"/>
          <w:kern w:val="0"/>
          <w:lang w:val="en-US" w:eastAsia="zh-CN"/>
        </w:rPr>
        <w:t>新招录公务员、退休人员增加</w:t>
      </w:r>
      <w:r>
        <w:rPr>
          <w:rFonts w:hint="eastAsia" w:ascii="仿宋_GB2312" w:hAnsi="宋体"/>
          <w:spacing w:val="-2"/>
          <w:kern w:val="0"/>
        </w:rPr>
        <w:t>。</w:t>
      </w:r>
    </w:p>
    <w:p>
      <w:pPr>
        <w:tabs>
          <w:tab w:val="left" w:pos="645"/>
        </w:tabs>
        <w:spacing w:line="560" w:lineRule="exact"/>
        <w:ind w:firstLine="635" w:firstLineChars="200"/>
        <w:rPr>
          <w:rFonts w:ascii="仿宋_GB2312" w:hAnsi="宋体"/>
          <w:spacing w:val="-2"/>
          <w:kern w:val="0"/>
        </w:rPr>
      </w:pPr>
      <w:r>
        <w:rPr>
          <w:rFonts w:hint="eastAsia" w:ascii="仿宋_GB2312" w:hAnsi="宋体"/>
          <w:b/>
          <w:spacing w:val="-2"/>
          <w:kern w:val="0"/>
        </w:rPr>
        <w:t>2.项目支出</w:t>
      </w:r>
      <w:r>
        <w:rPr>
          <w:rFonts w:hint="eastAsia" w:ascii="仿宋_GB2312" w:hAnsi="宋体"/>
          <w:b/>
          <w:spacing w:val="-2"/>
          <w:kern w:val="0"/>
          <w:lang w:val="en-US" w:eastAsia="zh-CN"/>
        </w:rPr>
        <w:t>0</w:t>
      </w:r>
      <w:r>
        <w:rPr>
          <w:rFonts w:hint="eastAsia" w:ascii="仿宋_GB2312" w:hAnsi="宋体"/>
          <w:b/>
          <w:spacing w:val="-2"/>
          <w:kern w:val="0"/>
        </w:rPr>
        <w:t>万元</w:t>
      </w:r>
      <w:r>
        <w:rPr>
          <w:rFonts w:hint="eastAsia" w:ascii="仿宋_GB2312" w:hAnsi="宋体"/>
          <w:spacing w:val="-2"/>
          <w:kern w:val="0"/>
        </w:rPr>
        <w:t>。</w:t>
      </w:r>
    </w:p>
    <w:p>
      <w:pPr>
        <w:spacing w:line="560" w:lineRule="exact"/>
        <w:ind w:firstLine="640" w:firstLineChars="200"/>
        <w:rPr>
          <w:rFonts w:ascii="黑体" w:hAnsi="黑体" w:eastAsia="黑体"/>
        </w:rPr>
      </w:pPr>
      <w:r>
        <w:rPr>
          <w:rFonts w:hint="eastAsia" w:ascii="黑体" w:hAnsi="黑体" w:eastAsia="黑体"/>
        </w:rPr>
        <w:t>二、“三公”经费预算及会议费情况</w:t>
      </w:r>
    </w:p>
    <w:p>
      <w:pPr>
        <w:spacing w:line="560" w:lineRule="exact"/>
        <w:ind w:firstLine="643" w:firstLineChars="200"/>
        <w:rPr>
          <w:rFonts w:ascii="仿宋_GB2312" w:hAnsi="宋体"/>
          <w:b/>
        </w:rPr>
      </w:pPr>
      <w:r>
        <w:rPr>
          <w:rFonts w:hint="eastAsia" w:ascii="楷体_GB2312" w:hAnsi="？？" w:eastAsia="楷体_GB2312" w:cs="宋体"/>
          <w:b/>
          <w:kern w:val="0"/>
        </w:rPr>
        <w:t>（一）“三公经费”预算：</w:t>
      </w:r>
      <w:r>
        <w:rPr>
          <w:rFonts w:hint="eastAsia" w:ascii="仿宋_GB2312" w:hAnsi="？？" w:cs="宋体"/>
          <w:kern w:val="0"/>
        </w:rPr>
        <w:t>2020年，</w:t>
      </w:r>
      <w:r>
        <w:rPr>
          <w:rFonts w:hint="eastAsia" w:ascii="仿宋_GB2312" w:hAnsi="宋体"/>
          <w:spacing w:val="-4"/>
        </w:rPr>
        <w:t>安排因公出国（境）费用</w:t>
      </w:r>
      <w:r>
        <w:rPr>
          <w:rFonts w:hint="eastAsia" w:ascii="仿宋_GB2312" w:hAnsi="宋体"/>
          <w:spacing w:val="-4"/>
          <w:lang w:val="en-US" w:eastAsia="zh-CN"/>
        </w:rPr>
        <w:t>0</w:t>
      </w:r>
      <w:r>
        <w:rPr>
          <w:rFonts w:hint="eastAsia" w:ascii="仿宋_GB2312" w:hAnsi="宋体"/>
          <w:spacing w:val="-4"/>
        </w:rPr>
        <w:t>万元，其中财政拨款</w:t>
      </w:r>
      <w:r>
        <w:rPr>
          <w:rFonts w:hint="eastAsia" w:ascii="仿宋_GB2312" w:hAnsi="宋体"/>
          <w:spacing w:val="-4"/>
          <w:lang w:val="en-US" w:eastAsia="zh-CN"/>
        </w:rPr>
        <w:t>0</w:t>
      </w:r>
      <w:r>
        <w:rPr>
          <w:rFonts w:hint="eastAsia" w:ascii="仿宋_GB2312" w:hAnsi="宋体"/>
          <w:spacing w:val="-4"/>
        </w:rPr>
        <w:t>万元；</w:t>
      </w:r>
      <w:r>
        <w:rPr>
          <w:rFonts w:hint="eastAsia" w:ascii="仿宋_GB2312" w:hAnsi="？？" w:cs="宋体"/>
          <w:kern w:val="0"/>
        </w:rPr>
        <w:t>公务接待费用安排</w:t>
      </w:r>
      <w:r>
        <w:rPr>
          <w:rFonts w:hint="eastAsia" w:ascii="仿宋_GB2312" w:hAnsi="？？" w:cs="宋体"/>
          <w:kern w:val="0"/>
          <w:lang w:val="en-US" w:eastAsia="zh-CN"/>
        </w:rPr>
        <w:t>2</w:t>
      </w:r>
      <w:r>
        <w:rPr>
          <w:rFonts w:hint="eastAsia" w:ascii="仿宋_GB2312" w:hAnsi="？？" w:cs="宋体"/>
          <w:kern w:val="0"/>
        </w:rPr>
        <w:t>万元，</w:t>
      </w:r>
      <w:r>
        <w:rPr>
          <w:rFonts w:hint="eastAsia" w:ascii="仿宋_GB2312" w:hAnsi="宋体"/>
          <w:spacing w:val="-4"/>
        </w:rPr>
        <w:t>其中财政拨款</w:t>
      </w:r>
      <w:r>
        <w:rPr>
          <w:rFonts w:hint="eastAsia" w:ascii="仿宋_GB2312" w:hAnsi="宋体"/>
          <w:spacing w:val="-4"/>
          <w:lang w:val="en-US" w:eastAsia="zh-CN"/>
        </w:rPr>
        <w:t>2</w:t>
      </w:r>
      <w:r>
        <w:rPr>
          <w:rFonts w:hint="eastAsia" w:ascii="仿宋_GB2312" w:hAnsi="宋体"/>
          <w:spacing w:val="-4"/>
        </w:rPr>
        <w:t>万元；公务用车运行维护费</w:t>
      </w:r>
      <w:r>
        <w:rPr>
          <w:rFonts w:hint="eastAsia" w:ascii="仿宋_GB2312" w:hAnsi="？？" w:cs="宋体"/>
          <w:kern w:val="0"/>
        </w:rPr>
        <w:t>安排</w:t>
      </w:r>
      <w:r>
        <w:rPr>
          <w:rFonts w:hint="eastAsia" w:ascii="仿宋_GB2312" w:hAnsi="？？" w:cs="宋体"/>
          <w:kern w:val="0"/>
          <w:lang w:val="en-US" w:eastAsia="zh-CN"/>
        </w:rPr>
        <w:t>0</w:t>
      </w:r>
      <w:r>
        <w:rPr>
          <w:rFonts w:hint="eastAsia" w:ascii="仿宋_GB2312" w:hAnsi="？？" w:cs="宋体"/>
          <w:kern w:val="0"/>
        </w:rPr>
        <w:t>万元，</w:t>
      </w:r>
      <w:r>
        <w:rPr>
          <w:rFonts w:hint="eastAsia" w:ascii="仿宋_GB2312" w:hAnsi="宋体"/>
          <w:spacing w:val="-4"/>
        </w:rPr>
        <w:t>其中财政拨款</w:t>
      </w:r>
      <w:r>
        <w:rPr>
          <w:rFonts w:hint="eastAsia" w:ascii="仿宋_GB2312" w:hAnsi="宋体"/>
          <w:spacing w:val="-4"/>
          <w:lang w:val="en-US" w:eastAsia="zh-CN"/>
        </w:rPr>
        <w:t>0</w:t>
      </w:r>
      <w:r>
        <w:rPr>
          <w:rFonts w:hint="eastAsia" w:ascii="仿宋_GB2312" w:hAnsi="宋体"/>
          <w:spacing w:val="-4"/>
        </w:rPr>
        <w:t>万元；公务用车购置费用安排</w:t>
      </w:r>
      <w:r>
        <w:rPr>
          <w:rFonts w:hint="eastAsia" w:ascii="仿宋_GB2312" w:hAnsi="宋体"/>
          <w:spacing w:val="-4"/>
          <w:lang w:val="en-US" w:eastAsia="zh-CN"/>
        </w:rPr>
        <w:t>0</w:t>
      </w:r>
      <w:r>
        <w:rPr>
          <w:rFonts w:hint="eastAsia" w:ascii="仿宋_GB2312" w:hAnsi="宋体"/>
          <w:spacing w:val="-4"/>
        </w:rPr>
        <w:t>万元，其中财政拨款</w:t>
      </w:r>
      <w:r>
        <w:rPr>
          <w:rFonts w:hint="eastAsia" w:ascii="仿宋_GB2312" w:hAnsi="宋体"/>
          <w:spacing w:val="-4"/>
          <w:lang w:val="en-US" w:eastAsia="zh-CN"/>
        </w:rPr>
        <w:t>0</w:t>
      </w:r>
      <w:r>
        <w:rPr>
          <w:rFonts w:hint="eastAsia" w:ascii="仿宋_GB2312" w:hAnsi="宋体"/>
          <w:spacing w:val="-4"/>
        </w:rPr>
        <w:t>万元。以上合计安排</w:t>
      </w:r>
      <w:r>
        <w:rPr>
          <w:rFonts w:hint="eastAsia" w:ascii="仿宋_GB2312" w:hAnsi="宋体"/>
        </w:rPr>
        <w:t>“三公经费”</w:t>
      </w:r>
      <w:r>
        <w:rPr>
          <w:rFonts w:hint="eastAsia" w:ascii="仿宋_GB2312" w:hAnsi="宋体"/>
          <w:spacing w:val="-4"/>
          <w:lang w:val="en-US" w:eastAsia="zh-CN"/>
        </w:rPr>
        <w:t>2</w:t>
      </w:r>
      <w:r>
        <w:rPr>
          <w:rFonts w:hint="eastAsia" w:ascii="仿宋_GB2312" w:hAnsi="宋体"/>
          <w:spacing w:val="-4"/>
        </w:rPr>
        <w:t>万元，其中财政拨款</w:t>
      </w:r>
      <w:r>
        <w:rPr>
          <w:rFonts w:hint="eastAsia" w:ascii="仿宋_GB2312" w:hAnsi="宋体"/>
          <w:spacing w:val="-4"/>
          <w:lang w:val="en-US" w:eastAsia="zh-CN"/>
        </w:rPr>
        <w:t>2</w:t>
      </w:r>
      <w:r>
        <w:rPr>
          <w:rFonts w:hint="eastAsia" w:ascii="仿宋_GB2312" w:hAnsi="宋体"/>
          <w:spacing w:val="-4"/>
        </w:rPr>
        <w:t>万元</w:t>
      </w:r>
      <w:r>
        <w:rPr>
          <w:rFonts w:hint="eastAsia" w:ascii="仿宋_GB2312" w:hAnsi="宋体"/>
          <w:spacing w:val="-4"/>
          <w:highlight w:val="none"/>
        </w:rPr>
        <w:t>。“三公经费”支出预算总额</w:t>
      </w:r>
      <w:r>
        <w:rPr>
          <w:rFonts w:hint="eastAsia" w:ascii="仿宋_GB2312" w:hAnsi="宋体"/>
          <w:spacing w:val="-4"/>
          <w:highlight w:val="none"/>
          <w:lang w:val="en-US" w:eastAsia="zh-CN"/>
        </w:rPr>
        <w:t>与</w:t>
      </w:r>
      <w:r>
        <w:rPr>
          <w:rFonts w:hint="eastAsia" w:ascii="仿宋_GB2312" w:hAnsi="宋体"/>
          <w:spacing w:val="-4"/>
          <w:highlight w:val="none"/>
        </w:rPr>
        <w:t>2019年决算实际支出减</w:t>
      </w:r>
      <w:r>
        <w:rPr>
          <w:rFonts w:hint="eastAsia" w:ascii="仿宋_GB2312" w:hAnsi="宋体"/>
          <w:spacing w:val="-4"/>
          <w:highlight w:val="none"/>
          <w:lang w:val="en-US" w:eastAsia="zh-CN"/>
        </w:rPr>
        <w:t>少6.0768</w:t>
      </w:r>
      <w:r>
        <w:rPr>
          <w:rFonts w:hint="eastAsia" w:ascii="仿宋_GB2312" w:hAnsi="宋体"/>
          <w:spacing w:val="-4"/>
          <w:highlight w:val="none"/>
        </w:rPr>
        <w:t>万元，</w:t>
      </w:r>
      <w:r>
        <w:rPr>
          <w:rFonts w:hint="eastAsia" w:ascii="仿宋_GB2312" w:hAnsi="宋体"/>
          <w:spacing w:val="-4"/>
          <w:highlight w:val="none"/>
          <w:lang w:val="en-US" w:eastAsia="zh-CN"/>
        </w:rPr>
        <w:t>减少原因是控制三公经费支出</w:t>
      </w:r>
      <w:r>
        <w:rPr>
          <w:rFonts w:hint="eastAsia" w:ascii="仿宋_GB2312" w:hAnsi="？？" w:cs="宋体"/>
          <w:kern w:val="0"/>
          <w:highlight w:val="none"/>
        </w:rPr>
        <w:t>。</w:t>
      </w:r>
    </w:p>
    <w:p>
      <w:pPr>
        <w:tabs>
          <w:tab w:val="left" w:pos="360"/>
        </w:tabs>
        <w:spacing w:line="560" w:lineRule="exact"/>
        <w:ind w:firstLine="643" w:firstLineChars="200"/>
        <w:rPr>
          <w:rFonts w:hint="eastAsia" w:ascii="仿宋_GB2312" w:hAnsi="？？" w:cs="宋体"/>
          <w:b/>
          <w:kern w:val="0"/>
        </w:rPr>
      </w:pPr>
      <w:r>
        <w:rPr>
          <w:rFonts w:hint="eastAsia" w:ascii="楷体_GB2312" w:hAnsi="？？" w:eastAsia="楷体_GB2312" w:cs="宋体"/>
          <w:b/>
          <w:kern w:val="0"/>
        </w:rPr>
        <w:t>（二）会议费预算：</w:t>
      </w:r>
      <w:r>
        <w:rPr>
          <w:rFonts w:hint="eastAsia" w:ascii="仿宋_GB2312" w:hAnsi="？？" w:cs="宋体"/>
          <w:kern w:val="0"/>
        </w:rPr>
        <w:t>2020年，</w:t>
      </w:r>
      <w:r>
        <w:rPr>
          <w:rFonts w:hint="eastAsia" w:ascii="仿宋_GB2312" w:hAnsi="宋体"/>
          <w:spacing w:val="-4"/>
          <w:lang w:val="en-US" w:eastAsia="zh-CN"/>
        </w:rPr>
        <w:t>商务局</w:t>
      </w:r>
      <w:r>
        <w:rPr>
          <w:rFonts w:hint="eastAsia" w:ascii="仿宋_GB2312" w:hAnsi="宋体"/>
          <w:spacing w:val="-4"/>
        </w:rPr>
        <w:t>单位安排会议费</w:t>
      </w:r>
      <w:r>
        <w:rPr>
          <w:rFonts w:hint="eastAsia" w:ascii="仿宋_GB2312" w:hAnsi="宋体"/>
          <w:spacing w:val="-4"/>
          <w:lang w:val="en-US" w:eastAsia="zh-CN"/>
        </w:rPr>
        <w:t>0</w:t>
      </w:r>
      <w:r>
        <w:rPr>
          <w:rFonts w:hint="eastAsia" w:ascii="仿宋_GB2312" w:hAnsi="宋体"/>
          <w:spacing w:val="-4"/>
        </w:rPr>
        <w:t>万元，其中财政拨款</w:t>
      </w:r>
      <w:r>
        <w:rPr>
          <w:rFonts w:hint="eastAsia" w:ascii="仿宋_GB2312" w:hAnsi="宋体"/>
          <w:spacing w:val="-4"/>
          <w:lang w:val="en-US" w:eastAsia="zh-CN"/>
        </w:rPr>
        <w:t>0</w:t>
      </w:r>
      <w:r>
        <w:rPr>
          <w:rFonts w:hint="eastAsia" w:ascii="仿宋_GB2312" w:hAnsi="宋体"/>
          <w:spacing w:val="-4"/>
        </w:rPr>
        <w:t>万元，比2019年决算实际支出</w:t>
      </w:r>
      <w:r>
        <w:rPr>
          <w:rFonts w:hint="eastAsia" w:ascii="仿宋_GB2312" w:hAnsi="宋体"/>
          <w:spacing w:val="-4"/>
          <w:lang w:val="en-US" w:eastAsia="zh-CN"/>
        </w:rPr>
        <w:t>相比，无变化</w:t>
      </w:r>
      <w:r>
        <w:rPr>
          <w:rFonts w:hint="eastAsia" w:ascii="仿宋_GB2312" w:hAnsi="？？" w:cs="宋体"/>
          <w:kern w:val="0"/>
        </w:rPr>
        <w:t>。</w:t>
      </w:r>
    </w:p>
    <w:p>
      <w:pPr>
        <w:spacing w:line="560" w:lineRule="exact"/>
        <w:ind w:firstLine="640" w:firstLineChars="200"/>
        <w:rPr>
          <w:rFonts w:ascii="黑体" w:hAnsi="黑体" w:eastAsia="黑体"/>
          <w:highlight w:val="none"/>
        </w:rPr>
      </w:pPr>
      <w:r>
        <w:rPr>
          <w:rFonts w:hint="eastAsia" w:ascii="黑体" w:hAnsi="黑体" w:eastAsia="黑体"/>
          <w:highlight w:val="none"/>
        </w:rPr>
        <w:t>三、机关运行经费安排情况</w:t>
      </w:r>
    </w:p>
    <w:p>
      <w:pPr>
        <w:spacing w:line="560" w:lineRule="exact"/>
        <w:ind w:firstLine="640" w:firstLineChars="200"/>
        <w:rPr>
          <w:rFonts w:hint="eastAsia" w:ascii="仿宋_GB2312" w:hAnsi="黑体" w:eastAsia="仿宋_GB2312"/>
          <w:highlight w:val="none"/>
          <w:lang w:eastAsia="zh-CN"/>
        </w:rPr>
      </w:pPr>
      <w:r>
        <w:rPr>
          <w:rFonts w:hint="eastAsia" w:ascii="仿宋_GB2312" w:hAnsi="黑体"/>
          <w:highlight w:val="none"/>
        </w:rPr>
        <w:t>2020年部门安排</w:t>
      </w:r>
      <w:r>
        <w:rPr>
          <w:rFonts w:hint="eastAsia" w:ascii="仿宋_GB2312" w:hAnsi="黑体"/>
          <w:highlight w:val="none"/>
          <w:lang w:val="en-US" w:eastAsia="zh-CN"/>
        </w:rPr>
        <w:t>商务局</w:t>
      </w:r>
      <w:r>
        <w:rPr>
          <w:rFonts w:hint="eastAsia" w:ascii="仿宋_GB2312" w:hAnsi="黑体"/>
          <w:highlight w:val="none"/>
        </w:rPr>
        <w:t>本级机关运行经费</w:t>
      </w:r>
      <w:r>
        <w:rPr>
          <w:rFonts w:hint="eastAsia" w:ascii="仿宋_GB2312" w:hAnsi="黑体"/>
          <w:highlight w:val="none"/>
          <w:lang w:val="en-US" w:eastAsia="zh-CN"/>
        </w:rPr>
        <w:t>13.44</w:t>
      </w:r>
      <w:r>
        <w:rPr>
          <w:rFonts w:hint="eastAsia" w:ascii="仿宋_GB2312" w:hAnsi="黑体"/>
          <w:highlight w:val="none"/>
        </w:rPr>
        <w:t>万元，主要用于办公费、印刷费</w:t>
      </w:r>
      <w:r>
        <w:rPr>
          <w:rFonts w:hint="eastAsia" w:ascii="仿宋_GB2312" w:hAnsi="黑体"/>
          <w:highlight w:val="none"/>
          <w:lang w:val="en-US" w:eastAsia="zh-CN"/>
        </w:rPr>
        <w:t>等。</w:t>
      </w:r>
    </w:p>
    <w:p>
      <w:pPr>
        <w:spacing w:line="560" w:lineRule="exact"/>
        <w:ind w:firstLine="640" w:firstLineChars="200"/>
        <w:rPr>
          <w:rFonts w:ascii="黑体" w:hAnsi="黑体" w:eastAsia="黑体"/>
        </w:rPr>
      </w:pPr>
      <w:r>
        <w:rPr>
          <w:rFonts w:hint="eastAsia" w:ascii="黑体" w:hAnsi="黑体" w:eastAsia="黑体"/>
        </w:rPr>
        <w:t>四、政府采购情况</w:t>
      </w:r>
    </w:p>
    <w:p>
      <w:pPr>
        <w:spacing w:line="560" w:lineRule="exact"/>
        <w:ind w:firstLine="640" w:firstLineChars="200"/>
        <w:rPr>
          <w:rFonts w:hint="eastAsia" w:ascii="仿宋_GB2312" w:hAnsi="宋体" w:eastAsia="仿宋_GB2312"/>
          <w:color w:val="auto"/>
          <w:spacing w:val="-4"/>
          <w:sz w:val="32"/>
          <w:szCs w:val="32"/>
          <w:lang w:eastAsia="zh-CN"/>
        </w:rPr>
      </w:pPr>
      <w:r>
        <w:rPr>
          <w:rFonts w:hint="eastAsia" w:ascii="仿宋_GB2312" w:hAnsi="黑体"/>
        </w:rPr>
        <w:t>本年申报政府采购预算</w:t>
      </w:r>
      <w:r>
        <w:rPr>
          <w:rFonts w:hint="eastAsia" w:ascii="仿宋_GB2312" w:hAnsi="黑体"/>
          <w:lang w:val="en-US" w:eastAsia="zh-CN"/>
        </w:rPr>
        <w:t>1.8</w:t>
      </w:r>
      <w:r>
        <w:rPr>
          <w:rFonts w:hint="eastAsia" w:ascii="仿宋_GB2312" w:hAnsi="黑体"/>
        </w:rPr>
        <w:t>万元，其中使用公用经费采购</w:t>
      </w:r>
      <w:r>
        <w:rPr>
          <w:rFonts w:hint="eastAsia" w:ascii="仿宋_GB2312" w:hAnsi="黑体"/>
          <w:lang w:val="en-US" w:eastAsia="zh-CN"/>
        </w:rPr>
        <w:t>1.8</w:t>
      </w:r>
      <w:r>
        <w:rPr>
          <w:rFonts w:hint="eastAsia" w:ascii="仿宋_GB2312" w:hAnsi="黑体"/>
        </w:rPr>
        <w:t>万元，专项资金采购</w:t>
      </w:r>
      <w:r>
        <w:rPr>
          <w:rFonts w:hint="eastAsia" w:ascii="仿宋_GB2312" w:hAnsi="黑体"/>
          <w:lang w:val="en-US" w:eastAsia="zh-CN"/>
        </w:rPr>
        <w:t>0</w:t>
      </w:r>
      <w:r>
        <w:rPr>
          <w:rFonts w:hint="eastAsia" w:ascii="仿宋_GB2312" w:hAnsi="黑体"/>
        </w:rPr>
        <w:t>万元。主要采购</w:t>
      </w:r>
      <w:r>
        <w:rPr>
          <w:rFonts w:hint="eastAsia" w:ascii="仿宋_GB2312" w:hAnsi="宋体" w:eastAsia="仿宋_GB2312"/>
          <w:color w:val="auto"/>
          <w:spacing w:val="-4"/>
          <w:sz w:val="32"/>
          <w:szCs w:val="32"/>
          <w:lang w:eastAsia="zh-CN"/>
        </w:rPr>
        <w:t>电脑打印机等办公设备</w:t>
      </w:r>
      <w:r>
        <w:rPr>
          <w:rFonts w:hint="eastAsia" w:ascii="仿宋_GB2312" w:hAnsi="宋体"/>
          <w:color w:val="auto"/>
          <w:spacing w:val="-4"/>
          <w:sz w:val="32"/>
          <w:szCs w:val="32"/>
          <w:lang w:eastAsia="zh-CN"/>
        </w:rPr>
        <w:t>。</w:t>
      </w:r>
    </w:p>
    <w:p>
      <w:pPr>
        <w:spacing w:line="560" w:lineRule="exact"/>
        <w:ind w:firstLine="640" w:firstLineChars="200"/>
        <w:rPr>
          <w:rFonts w:ascii="黑体" w:hAnsi="黑体" w:eastAsia="黑体"/>
        </w:rPr>
      </w:pPr>
      <w:r>
        <w:rPr>
          <w:rFonts w:hint="eastAsia" w:ascii="黑体" w:hAnsi="黑体" w:eastAsia="黑体"/>
        </w:rPr>
        <w:t>五、国有资产占有使用情况</w:t>
      </w:r>
    </w:p>
    <w:p>
      <w:pPr>
        <w:spacing w:line="560" w:lineRule="exact"/>
        <w:ind w:firstLine="640" w:firstLineChars="200"/>
        <w:rPr>
          <w:rFonts w:hint="default" w:ascii="仿宋_GB2312" w:hAnsi="宋体" w:eastAsia="仿宋_GB2312"/>
          <w:highlight w:val="none"/>
          <w:lang w:val="en-US" w:eastAsia="zh-CN"/>
        </w:rPr>
      </w:pPr>
      <w:r>
        <w:rPr>
          <w:rFonts w:hint="eastAsia" w:ascii="仿宋_GB2312" w:hAnsi="宋体"/>
          <w:highlight w:val="none"/>
        </w:rPr>
        <w:t>经盘点核实，截至2019年底，我单位占有国有资产原值</w:t>
      </w:r>
      <w:r>
        <w:rPr>
          <w:rFonts w:hint="eastAsia" w:ascii="仿宋_GB2312" w:hAnsi="宋体"/>
          <w:highlight w:val="none"/>
          <w:lang w:val="en-US" w:eastAsia="zh-CN"/>
        </w:rPr>
        <w:t>31.643</w:t>
      </w:r>
      <w:r>
        <w:rPr>
          <w:rFonts w:hint="eastAsia" w:ascii="仿宋_GB2312" w:hAnsi="宋体"/>
          <w:highlight w:val="none"/>
        </w:rPr>
        <w:t>万元，其中</w:t>
      </w:r>
      <w:r>
        <w:rPr>
          <w:rFonts w:hint="eastAsia" w:ascii="仿宋_GB2312" w:hAnsi="宋体"/>
          <w:highlight w:val="none"/>
          <w:lang w:val="en-US" w:eastAsia="zh-CN"/>
        </w:rPr>
        <w:t>通用设备34个，原值28.8万元；家具25个，原值2.843万元。</w:t>
      </w:r>
    </w:p>
    <w:p>
      <w:pPr>
        <w:spacing w:line="560" w:lineRule="exact"/>
        <w:ind w:firstLine="640" w:firstLineChars="200"/>
        <w:rPr>
          <w:rFonts w:ascii="黑体" w:hAnsi="黑体" w:eastAsia="黑体"/>
        </w:rPr>
      </w:pPr>
      <w:r>
        <w:rPr>
          <w:rFonts w:hint="eastAsia" w:ascii="仿宋_GB2312" w:hAnsi="宋体" w:cs="Times New Roman"/>
        </w:rPr>
        <w:t>我单位将加强固定资产管理，在资产配置、使用、处置等各个环节的监管力度，牢固树立依法管理国有资产的意识，建立并完善固定资产管理制度，加大固定资产的日常监管。并通过采取全面盘点和定期、不定期清查等一系列管理措施，切实摸清"家底"、了解"实情"，掌握了现有资产的数量、构成和使用情况。</w:t>
      </w:r>
      <w:bookmarkStart w:id="0" w:name="_GoBack"/>
      <w:bookmarkEnd w:id="0"/>
    </w:p>
    <w:p>
      <w:pPr>
        <w:spacing w:line="560" w:lineRule="exact"/>
        <w:jc w:val="center"/>
        <w:rPr>
          <w:rFonts w:ascii="黑体" w:hAnsi="黑体" w:eastAsia="黑体"/>
        </w:rPr>
      </w:pPr>
      <w:r>
        <w:rPr>
          <w:rFonts w:hint="eastAsia" w:ascii="黑体" w:hAnsi="黑体" w:eastAsia="黑体"/>
        </w:rPr>
        <w:t>第四部分 名词解释</w:t>
      </w:r>
    </w:p>
    <w:p>
      <w:pPr>
        <w:tabs>
          <w:tab w:val="left" w:pos="360"/>
        </w:tabs>
        <w:spacing w:line="560" w:lineRule="exact"/>
        <w:ind w:firstLine="790" w:firstLineChars="250"/>
        <w:rPr>
          <w:rFonts w:ascii="仿宋_GB2312"/>
          <w:spacing w:val="-2"/>
          <w:kern w:val="0"/>
        </w:rPr>
      </w:pPr>
    </w:p>
    <w:p>
      <w:pPr>
        <w:tabs>
          <w:tab w:val="left" w:pos="360"/>
        </w:tabs>
        <w:spacing w:line="560" w:lineRule="exact"/>
        <w:ind w:firstLine="790" w:firstLineChars="250"/>
        <w:rPr>
          <w:rFonts w:ascii="仿宋_GB2312"/>
          <w:spacing w:val="-2"/>
          <w:kern w:val="0"/>
        </w:rPr>
      </w:pPr>
      <w:r>
        <w:rPr>
          <w:rFonts w:ascii="仿宋_GB2312"/>
          <w:spacing w:val="-2"/>
          <w:kern w:val="0"/>
        </w:rPr>
        <w:t>一</w:t>
      </w:r>
      <w:r>
        <w:rPr>
          <w:rFonts w:hint="eastAsia" w:ascii="仿宋_GB2312"/>
          <w:spacing w:val="-2"/>
          <w:kern w:val="0"/>
        </w:rPr>
        <w:t>、</w:t>
      </w:r>
      <w:r>
        <w:rPr>
          <w:rFonts w:ascii="仿宋_GB2312"/>
          <w:spacing w:val="-2"/>
          <w:kern w:val="0"/>
        </w:rPr>
        <w:t>部门预算</w:t>
      </w:r>
      <w:r>
        <w:rPr>
          <w:rFonts w:hint="eastAsia" w:ascii="仿宋_GB2312"/>
          <w:spacing w:val="-2"/>
          <w:kern w:val="0"/>
        </w:rPr>
        <w:t>，指部门依据国家有关政策规定及其行使职能的需要，由基层预算单位编制，逐级上报，经各级政府财政部门汇总审核后提交立法机关依法批准的涵盖部门各项收支的综合财政计划。主要包括部门收入、基本支出和项目支出预算等内容。</w:t>
      </w:r>
    </w:p>
    <w:p>
      <w:pPr>
        <w:tabs>
          <w:tab w:val="left" w:pos="360"/>
        </w:tabs>
        <w:spacing w:line="560" w:lineRule="exact"/>
        <w:ind w:firstLine="790" w:firstLineChars="250"/>
        <w:rPr>
          <w:rFonts w:ascii="仿宋_GB2312"/>
          <w:spacing w:val="-2"/>
          <w:kern w:val="0"/>
        </w:rPr>
      </w:pPr>
      <w:r>
        <w:rPr>
          <w:rFonts w:hint="eastAsia" w:ascii="仿宋_GB2312"/>
          <w:spacing w:val="-2"/>
          <w:kern w:val="0"/>
        </w:rPr>
        <w:t>二、“三公”经费，指用财政拨款安排的因公出国（境）费用，公务接待费用，公务用车运行维护及购置经费。其中，因公出国（境）费用反映单位公务出国（境）的国际旅费、国外城市间交通费、住宿费、伙食费、培训费、公杂费等支出；公务用车运行维护及购置经费反映单位公务用车车辆购置（含购置税）及租用费、燃料费、过路过桥费、保险费等支出；公务接待费反映单位按规定开支的各类公务接待（含外宾接待）支出。</w:t>
      </w:r>
    </w:p>
    <w:p>
      <w:pPr>
        <w:tabs>
          <w:tab w:val="left" w:pos="360"/>
        </w:tabs>
        <w:spacing w:line="560" w:lineRule="exact"/>
        <w:ind w:firstLine="790" w:firstLineChars="250"/>
        <w:rPr>
          <w:rFonts w:ascii="仿宋_GB2312"/>
          <w:spacing w:val="-2"/>
          <w:kern w:val="0"/>
        </w:rPr>
      </w:pPr>
      <w:r>
        <w:rPr>
          <w:rFonts w:hint="eastAsia" w:ascii="仿宋_GB2312"/>
          <w:spacing w:val="-2"/>
          <w:kern w:val="0"/>
        </w:rPr>
        <w:t>三、机关运行经费，指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用车运行维护费及其他费用。</w:t>
      </w:r>
    </w:p>
    <w:p>
      <w:pPr>
        <w:tabs>
          <w:tab w:val="left" w:pos="360"/>
        </w:tabs>
        <w:spacing w:line="560" w:lineRule="exact"/>
        <w:ind w:firstLine="790" w:firstLineChars="250"/>
        <w:rPr>
          <w:rFonts w:ascii="仿宋_GB2312"/>
          <w:spacing w:val="-2"/>
          <w:kern w:val="0"/>
        </w:rPr>
      </w:pPr>
    </w:p>
    <w:p>
      <w:pPr>
        <w:tabs>
          <w:tab w:val="left" w:pos="360"/>
        </w:tabs>
        <w:spacing w:line="560" w:lineRule="exact"/>
        <w:ind w:firstLine="790" w:firstLineChars="250"/>
        <w:rPr>
          <w:rFonts w:ascii="仿宋_GB2312"/>
          <w:spacing w:val="-2"/>
          <w:kern w:val="0"/>
        </w:rPr>
      </w:pPr>
      <w:r>
        <w:rPr>
          <w:rFonts w:hint="eastAsia" w:ascii="仿宋_GB2312"/>
          <w:spacing w:val="-2"/>
          <w:kern w:val="0"/>
        </w:rPr>
        <w:t>附件：2020年部门预算表</w:t>
      </w:r>
    </w:p>
    <w:p>
      <w:pPr>
        <w:spacing w:line="440" w:lineRule="exact"/>
        <w:rPr>
          <w:rFonts w:ascii="仿宋_GB2312"/>
        </w:rPr>
      </w:pPr>
    </w:p>
    <w:sectPr>
      <w:footerReference r:id="rId3" w:type="default"/>
      <w:footerReference r:id="rId4" w:type="even"/>
      <w:pgSz w:w="11906" w:h="16838"/>
      <w:pgMar w:top="1440" w:right="1797" w:bottom="1440" w:left="1797" w:header="2098" w:footer="624" w:gutter="0"/>
      <w:cols w:space="425" w:num="1"/>
      <w:docGrid w:type="line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仿宋_GB2312"/>
        <w:sz w:val="28"/>
        <w:szCs w:val="28"/>
      </w:rPr>
    </w:pPr>
    <w:r>
      <w:rPr>
        <w:rFonts w:hint="eastAsia" w:ascii="仿宋_GB2312"/>
        <w:kern w:val="0"/>
        <w:sz w:val="28"/>
        <w:szCs w:val="28"/>
      </w:rPr>
      <w:t xml:space="preserve">— </w:t>
    </w:r>
    <w:r>
      <w:rPr>
        <w:rFonts w:hint="eastAsia" w:ascii="仿宋_GB2312"/>
        <w:kern w:val="0"/>
        <w:sz w:val="28"/>
        <w:szCs w:val="28"/>
      </w:rPr>
      <w:fldChar w:fldCharType="begin"/>
    </w:r>
    <w:r>
      <w:rPr>
        <w:rFonts w:hint="eastAsia" w:ascii="仿宋_GB2312"/>
        <w:kern w:val="0"/>
        <w:sz w:val="28"/>
        <w:szCs w:val="28"/>
      </w:rPr>
      <w:instrText xml:space="preserve"> PAGE </w:instrText>
    </w:r>
    <w:r>
      <w:rPr>
        <w:rFonts w:hint="eastAsia" w:ascii="仿宋_GB2312"/>
        <w:kern w:val="0"/>
        <w:sz w:val="28"/>
        <w:szCs w:val="28"/>
      </w:rPr>
      <w:fldChar w:fldCharType="separate"/>
    </w:r>
    <w:r>
      <w:rPr>
        <w:rFonts w:ascii="仿宋_GB2312"/>
        <w:kern w:val="0"/>
        <w:sz w:val="28"/>
        <w:szCs w:val="28"/>
      </w:rPr>
      <w:t>5</w:t>
    </w:r>
    <w:r>
      <w:rPr>
        <w:rFonts w:hint="eastAsia" w:ascii="仿宋_GB2312"/>
        <w:kern w:val="0"/>
        <w:sz w:val="28"/>
        <w:szCs w:val="28"/>
      </w:rPr>
      <w:fldChar w:fldCharType="end"/>
    </w:r>
    <w:r>
      <w:rPr>
        <w:rFonts w:hint="eastAsia" w:ascii="仿宋_GB2312"/>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仿宋_GB2312"/>
        <w:sz w:val="28"/>
        <w:szCs w:val="28"/>
      </w:rPr>
    </w:pPr>
    <w:r>
      <w:rPr>
        <w:rFonts w:hint="eastAsia" w:ascii="仿宋_GB2312"/>
        <w:sz w:val="28"/>
        <w:szCs w:val="28"/>
      </w:rPr>
      <w:t xml:space="preserve">— </w:t>
    </w:r>
    <w:r>
      <w:rPr>
        <w:rStyle w:val="12"/>
        <w:rFonts w:hint="eastAsia" w:ascii="仿宋_GB2312"/>
        <w:sz w:val="28"/>
        <w:szCs w:val="28"/>
      </w:rPr>
      <w:fldChar w:fldCharType="begin"/>
    </w:r>
    <w:r>
      <w:rPr>
        <w:rStyle w:val="12"/>
        <w:rFonts w:hint="eastAsia" w:ascii="仿宋_GB2312"/>
        <w:sz w:val="28"/>
        <w:szCs w:val="28"/>
      </w:rPr>
      <w:instrText xml:space="preserve"> PAGE </w:instrText>
    </w:r>
    <w:r>
      <w:rPr>
        <w:rStyle w:val="12"/>
        <w:rFonts w:hint="eastAsia" w:ascii="仿宋_GB2312"/>
        <w:sz w:val="28"/>
        <w:szCs w:val="28"/>
      </w:rPr>
      <w:fldChar w:fldCharType="separate"/>
    </w:r>
    <w:r>
      <w:rPr>
        <w:rStyle w:val="12"/>
        <w:rFonts w:ascii="仿宋_GB2312"/>
        <w:sz w:val="28"/>
        <w:szCs w:val="28"/>
      </w:rPr>
      <w:t>6</w:t>
    </w:r>
    <w:r>
      <w:rPr>
        <w:rStyle w:val="12"/>
        <w:rFonts w:hint="eastAsia" w:ascii="仿宋_GB2312"/>
        <w:sz w:val="28"/>
        <w:szCs w:val="28"/>
      </w:rPr>
      <w:fldChar w:fldCharType="end"/>
    </w:r>
    <w:r>
      <w:rPr>
        <w:rStyle w:val="12"/>
        <w:rFonts w:hint="eastAsia" w:ascii="仿宋_GB2312"/>
        <w:sz w:val="28"/>
        <w:szCs w:val="28"/>
      </w:rPr>
      <w:t xml:space="preserve"> </w:t>
    </w:r>
    <w:r>
      <w:rPr>
        <w:rFonts w:hint="eastAsia" w:ascii="仿宋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52"/>
  <w:drawingGridVerticalSpacing w:val="30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696DD2D-5346-486F-99BF-B59CB68B117A}" w:val="bJlxyF=Wj9MigV7N2CLrYdfUaQwvcp84OEHznkBDtqRKASI0m61Gu5eXhTZ/os+P3"/>
    <w:docVar w:name="{124A3FF9-332F-4D24-A54F-A52BC40E830E}" w:val="bJlxyF=Wj9MigV7N2CLrYdfUaQwvcp84OEHznkBDtqRKASI0m61Gu5eXhTZ/os+P3"/>
    <w:docVar w:name="{286D1332-0AD2-4F97-A75D-4DCAC06C1329}" w:val="bJlxyF=Wj9MigV7N2CLrYdfUaQwvcp84OEHznkBDtqRKASI0m61Gu5eXhTZ/os+P3"/>
    <w:docVar w:name="{28B1C689-1181-4575-B360-90CAE3BDD6F5}" w:val="bJlxyF=Wj9MigV7N2CLrYdfUaQwvcp84OEHznkBDtqRKASI0m61Gu5eXhTZ/os+P3"/>
    <w:docVar w:name="{560D6C7C-21D8-401F-87C0-4264FB7F8C41}" w:val="bJlxyF=Wj9MigV7N2CLrYdfUaQwvcp84OEHznkBDtqRKASI0m61Gu5eXhTZ/os+P3"/>
    <w:docVar w:name="{5B58D117-0260-4F59-915A-42EBF12608FF}" w:val="bJlxyF=Wj9MigV7N2CLrYdfUaQwvcp84OEHznkBDtqRKASI0m61Gu5eXhTZ/os+P3"/>
    <w:docVar w:name="{9409F78F-35C3-4D63-A2E3-63C941674360}" w:val="bJlxyF=Wj9MigV7N2CLrYdfUaQwvcp84OEHznkBDtqRKASI0m61Gu5eXhTZ/os+P3"/>
    <w:docVar w:name="{B2A1FF43-A52D-4381-876A-03EA4225A279}" w:val="bJlxyF=Wj9MigV7N2CLrYdfUaQwvcp84OEHznkBDtqRKASI0m61Gu5eXhTZ/os+P3"/>
    <w:docVar w:name="{CF8D8EA8-19C1-4C9C-B72A-D47C8D233021}" w:val="bJlxyF=Wj9MigV7N2CLrYdfUaQwvcp84OEHznkBDtqRKASI0m61Gu5eXhTZ/os+P3"/>
    <w:docVar w:name="{F281AC85-C577-43F1-B6D9-16D3CE6C237D}" w:val="bJlxyF=Wj9MigV7N2CLrYdfUaQwvcp84OEHznkBDtqRKASI0m61Gu5eXhTZ/os+P3"/>
    <w:docVar w:name="DocumentID" w:val="{11F5C713-AFBD-4FE3-97A8-F3739084CEA8}"/>
  </w:docVars>
  <w:rsids>
    <w:rsidRoot w:val="00BE43D4"/>
    <w:rsid w:val="000018A2"/>
    <w:rsid w:val="0000295B"/>
    <w:rsid w:val="00002FFD"/>
    <w:rsid w:val="00006CE8"/>
    <w:rsid w:val="0001110C"/>
    <w:rsid w:val="000118B9"/>
    <w:rsid w:val="0001574E"/>
    <w:rsid w:val="00020807"/>
    <w:rsid w:val="00023791"/>
    <w:rsid w:val="000250E8"/>
    <w:rsid w:val="00025685"/>
    <w:rsid w:val="00025E3B"/>
    <w:rsid w:val="00026826"/>
    <w:rsid w:val="00026AE1"/>
    <w:rsid w:val="00030778"/>
    <w:rsid w:val="00042753"/>
    <w:rsid w:val="00044111"/>
    <w:rsid w:val="000446A7"/>
    <w:rsid w:val="0004598C"/>
    <w:rsid w:val="00050C57"/>
    <w:rsid w:val="0005218C"/>
    <w:rsid w:val="000538C1"/>
    <w:rsid w:val="000539CC"/>
    <w:rsid w:val="0005472F"/>
    <w:rsid w:val="00055AE9"/>
    <w:rsid w:val="000706DB"/>
    <w:rsid w:val="000756E3"/>
    <w:rsid w:val="000818BB"/>
    <w:rsid w:val="0008588F"/>
    <w:rsid w:val="00085BF9"/>
    <w:rsid w:val="00087E91"/>
    <w:rsid w:val="00090E04"/>
    <w:rsid w:val="0009725E"/>
    <w:rsid w:val="000A0B76"/>
    <w:rsid w:val="000A1BA6"/>
    <w:rsid w:val="000A1DAE"/>
    <w:rsid w:val="000A29EF"/>
    <w:rsid w:val="000B0F1B"/>
    <w:rsid w:val="000B203D"/>
    <w:rsid w:val="000B51C5"/>
    <w:rsid w:val="000B7623"/>
    <w:rsid w:val="000C12A9"/>
    <w:rsid w:val="000C26D1"/>
    <w:rsid w:val="000C274F"/>
    <w:rsid w:val="000D1BE7"/>
    <w:rsid w:val="000D1E57"/>
    <w:rsid w:val="000D2C81"/>
    <w:rsid w:val="000D3046"/>
    <w:rsid w:val="000D52F3"/>
    <w:rsid w:val="000D6A2F"/>
    <w:rsid w:val="000E1BB1"/>
    <w:rsid w:val="000F1239"/>
    <w:rsid w:val="000F1A64"/>
    <w:rsid w:val="000F30CD"/>
    <w:rsid w:val="000F6BD5"/>
    <w:rsid w:val="000F6F11"/>
    <w:rsid w:val="000F7915"/>
    <w:rsid w:val="000F793A"/>
    <w:rsid w:val="00100BE8"/>
    <w:rsid w:val="00101F0A"/>
    <w:rsid w:val="00104B5E"/>
    <w:rsid w:val="00113300"/>
    <w:rsid w:val="00115124"/>
    <w:rsid w:val="00115A5B"/>
    <w:rsid w:val="00117C65"/>
    <w:rsid w:val="00121AAC"/>
    <w:rsid w:val="001228C0"/>
    <w:rsid w:val="001243FD"/>
    <w:rsid w:val="001308FD"/>
    <w:rsid w:val="00130F75"/>
    <w:rsid w:val="001348D9"/>
    <w:rsid w:val="00137916"/>
    <w:rsid w:val="00143546"/>
    <w:rsid w:val="0014495A"/>
    <w:rsid w:val="00150C45"/>
    <w:rsid w:val="00150D35"/>
    <w:rsid w:val="001567B7"/>
    <w:rsid w:val="001643CD"/>
    <w:rsid w:val="00167088"/>
    <w:rsid w:val="00171108"/>
    <w:rsid w:val="001760A8"/>
    <w:rsid w:val="0017616D"/>
    <w:rsid w:val="00176654"/>
    <w:rsid w:val="00176CF7"/>
    <w:rsid w:val="00184E80"/>
    <w:rsid w:val="0018568C"/>
    <w:rsid w:val="00186633"/>
    <w:rsid w:val="00192CE5"/>
    <w:rsid w:val="00193973"/>
    <w:rsid w:val="0019623B"/>
    <w:rsid w:val="001973F3"/>
    <w:rsid w:val="001A00DA"/>
    <w:rsid w:val="001A2399"/>
    <w:rsid w:val="001A3D02"/>
    <w:rsid w:val="001A46AD"/>
    <w:rsid w:val="001A6368"/>
    <w:rsid w:val="001C17C6"/>
    <w:rsid w:val="001C681E"/>
    <w:rsid w:val="001C6E0A"/>
    <w:rsid w:val="001C7355"/>
    <w:rsid w:val="001C7F94"/>
    <w:rsid w:val="001D0939"/>
    <w:rsid w:val="001D40CE"/>
    <w:rsid w:val="001D7A58"/>
    <w:rsid w:val="001E3328"/>
    <w:rsid w:val="001E6D52"/>
    <w:rsid w:val="001E7623"/>
    <w:rsid w:val="001E789C"/>
    <w:rsid w:val="001F1BA5"/>
    <w:rsid w:val="001F3495"/>
    <w:rsid w:val="001F7126"/>
    <w:rsid w:val="00200B9E"/>
    <w:rsid w:val="00203304"/>
    <w:rsid w:val="00203F03"/>
    <w:rsid w:val="0020494B"/>
    <w:rsid w:val="002050B1"/>
    <w:rsid w:val="00207027"/>
    <w:rsid w:val="00207072"/>
    <w:rsid w:val="00207258"/>
    <w:rsid w:val="00211C64"/>
    <w:rsid w:val="00221AA6"/>
    <w:rsid w:val="00223492"/>
    <w:rsid w:val="0023351C"/>
    <w:rsid w:val="00235585"/>
    <w:rsid w:val="00242EF2"/>
    <w:rsid w:val="00246A5A"/>
    <w:rsid w:val="002478C2"/>
    <w:rsid w:val="00254AC9"/>
    <w:rsid w:val="0025581B"/>
    <w:rsid w:val="00260487"/>
    <w:rsid w:val="002639EF"/>
    <w:rsid w:val="00265C94"/>
    <w:rsid w:val="00271A1B"/>
    <w:rsid w:val="00273401"/>
    <w:rsid w:val="00280C33"/>
    <w:rsid w:val="00285CF7"/>
    <w:rsid w:val="0029008C"/>
    <w:rsid w:val="002A03C7"/>
    <w:rsid w:val="002A07D1"/>
    <w:rsid w:val="002A12EA"/>
    <w:rsid w:val="002A3B42"/>
    <w:rsid w:val="002A4219"/>
    <w:rsid w:val="002B358A"/>
    <w:rsid w:val="002B5A43"/>
    <w:rsid w:val="002C16E4"/>
    <w:rsid w:val="002C1A58"/>
    <w:rsid w:val="002C21F6"/>
    <w:rsid w:val="002C2AAC"/>
    <w:rsid w:val="002C65CF"/>
    <w:rsid w:val="002D1944"/>
    <w:rsid w:val="002D5538"/>
    <w:rsid w:val="002D6A35"/>
    <w:rsid w:val="002D7382"/>
    <w:rsid w:val="002E1036"/>
    <w:rsid w:val="002E1295"/>
    <w:rsid w:val="002E2CB2"/>
    <w:rsid w:val="002E30BB"/>
    <w:rsid w:val="002E4801"/>
    <w:rsid w:val="002F19AC"/>
    <w:rsid w:val="002F4A05"/>
    <w:rsid w:val="002F7262"/>
    <w:rsid w:val="00306D0E"/>
    <w:rsid w:val="00311F38"/>
    <w:rsid w:val="00314835"/>
    <w:rsid w:val="00314C0B"/>
    <w:rsid w:val="00321BB6"/>
    <w:rsid w:val="003239E3"/>
    <w:rsid w:val="00323BD0"/>
    <w:rsid w:val="003257EE"/>
    <w:rsid w:val="00327B39"/>
    <w:rsid w:val="00330096"/>
    <w:rsid w:val="00331B93"/>
    <w:rsid w:val="00332F14"/>
    <w:rsid w:val="00333473"/>
    <w:rsid w:val="00333A70"/>
    <w:rsid w:val="00335F37"/>
    <w:rsid w:val="003374D9"/>
    <w:rsid w:val="00340030"/>
    <w:rsid w:val="003424D4"/>
    <w:rsid w:val="00343C69"/>
    <w:rsid w:val="00346584"/>
    <w:rsid w:val="00346F42"/>
    <w:rsid w:val="0035101D"/>
    <w:rsid w:val="00351A1C"/>
    <w:rsid w:val="00357B48"/>
    <w:rsid w:val="003643D8"/>
    <w:rsid w:val="00364607"/>
    <w:rsid w:val="00371B46"/>
    <w:rsid w:val="00374C76"/>
    <w:rsid w:val="00380266"/>
    <w:rsid w:val="003803FD"/>
    <w:rsid w:val="0038545C"/>
    <w:rsid w:val="003A35A0"/>
    <w:rsid w:val="003A5E3B"/>
    <w:rsid w:val="003A7FD4"/>
    <w:rsid w:val="003B1F0C"/>
    <w:rsid w:val="003B3639"/>
    <w:rsid w:val="003B754C"/>
    <w:rsid w:val="003C3AA6"/>
    <w:rsid w:val="003C4FFE"/>
    <w:rsid w:val="003C582D"/>
    <w:rsid w:val="003D1730"/>
    <w:rsid w:val="003D5F56"/>
    <w:rsid w:val="003E30E5"/>
    <w:rsid w:val="003F5120"/>
    <w:rsid w:val="004011AF"/>
    <w:rsid w:val="00402D04"/>
    <w:rsid w:val="00403F8A"/>
    <w:rsid w:val="004065FE"/>
    <w:rsid w:val="00407B52"/>
    <w:rsid w:val="00411F04"/>
    <w:rsid w:val="00415F40"/>
    <w:rsid w:val="00416A0F"/>
    <w:rsid w:val="00416BE5"/>
    <w:rsid w:val="00426549"/>
    <w:rsid w:val="004355D4"/>
    <w:rsid w:val="00441306"/>
    <w:rsid w:val="00451620"/>
    <w:rsid w:val="00453AF7"/>
    <w:rsid w:val="0046411B"/>
    <w:rsid w:val="004641F6"/>
    <w:rsid w:val="004649AC"/>
    <w:rsid w:val="0046595E"/>
    <w:rsid w:val="004662B7"/>
    <w:rsid w:val="004664A0"/>
    <w:rsid w:val="00471B32"/>
    <w:rsid w:val="0047516C"/>
    <w:rsid w:val="00475568"/>
    <w:rsid w:val="00475DDF"/>
    <w:rsid w:val="00476ECF"/>
    <w:rsid w:val="00477996"/>
    <w:rsid w:val="00481B08"/>
    <w:rsid w:val="00483B2F"/>
    <w:rsid w:val="00486AED"/>
    <w:rsid w:val="00493C68"/>
    <w:rsid w:val="00495F29"/>
    <w:rsid w:val="004A0022"/>
    <w:rsid w:val="004A5F00"/>
    <w:rsid w:val="004A69AE"/>
    <w:rsid w:val="004A7505"/>
    <w:rsid w:val="004B0B6D"/>
    <w:rsid w:val="004B19BE"/>
    <w:rsid w:val="004B331A"/>
    <w:rsid w:val="004B7245"/>
    <w:rsid w:val="004B76ED"/>
    <w:rsid w:val="004B7EA2"/>
    <w:rsid w:val="004D122A"/>
    <w:rsid w:val="004D2F79"/>
    <w:rsid w:val="004D489E"/>
    <w:rsid w:val="004E0FA1"/>
    <w:rsid w:val="004E1C8A"/>
    <w:rsid w:val="004E5F9B"/>
    <w:rsid w:val="004E70DD"/>
    <w:rsid w:val="004E76F7"/>
    <w:rsid w:val="004F1794"/>
    <w:rsid w:val="004F740B"/>
    <w:rsid w:val="00515D01"/>
    <w:rsid w:val="00516F79"/>
    <w:rsid w:val="00517DE3"/>
    <w:rsid w:val="0052068E"/>
    <w:rsid w:val="00522956"/>
    <w:rsid w:val="00522C64"/>
    <w:rsid w:val="00524FBC"/>
    <w:rsid w:val="00527693"/>
    <w:rsid w:val="00530267"/>
    <w:rsid w:val="00532125"/>
    <w:rsid w:val="00533977"/>
    <w:rsid w:val="00534F34"/>
    <w:rsid w:val="00541690"/>
    <w:rsid w:val="005420FC"/>
    <w:rsid w:val="0054522F"/>
    <w:rsid w:val="00551F6D"/>
    <w:rsid w:val="00555830"/>
    <w:rsid w:val="005577B7"/>
    <w:rsid w:val="0056697E"/>
    <w:rsid w:val="0057452F"/>
    <w:rsid w:val="00576782"/>
    <w:rsid w:val="00580431"/>
    <w:rsid w:val="00581193"/>
    <w:rsid w:val="005902C7"/>
    <w:rsid w:val="00591E17"/>
    <w:rsid w:val="00593506"/>
    <w:rsid w:val="00595B33"/>
    <w:rsid w:val="005A2FA5"/>
    <w:rsid w:val="005A360F"/>
    <w:rsid w:val="005A3A79"/>
    <w:rsid w:val="005A4DA1"/>
    <w:rsid w:val="005A662D"/>
    <w:rsid w:val="005A73EC"/>
    <w:rsid w:val="005B060E"/>
    <w:rsid w:val="005B3F90"/>
    <w:rsid w:val="005B7967"/>
    <w:rsid w:val="005C2525"/>
    <w:rsid w:val="005C4872"/>
    <w:rsid w:val="005C4AEE"/>
    <w:rsid w:val="005D003C"/>
    <w:rsid w:val="005D43DA"/>
    <w:rsid w:val="005D5342"/>
    <w:rsid w:val="005D706C"/>
    <w:rsid w:val="005D768A"/>
    <w:rsid w:val="005E0F0C"/>
    <w:rsid w:val="005E2180"/>
    <w:rsid w:val="005E22B5"/>
    <w:rsid w:val="005E6C6A"/>
    <w:rsid w:val="005F0B9C"/>
    <w:rsid w:val="005F19BF"/>
    <w:rsid w:val="005F2B7F"/>
    <w:rsid w:val="005F7293"/>
    <w:rsid w:val="005F7A3F"/>
    <w:rsid w:val="00604511"/>
    <w:rsid w:val="00604F2A"/>
    <w:rsid w:val="00605273"/>
    <w:rsid w:val="00605428"/>
    <w:rsid w:val="00607DF2"/>
    <w:rsid w:val="00610AA2"/>
    <w:rsid w:val="00613E3C"/>
    <w:rsid w:val="00614DA6"/>
    <w:rsid w:val="006168D0"/>
    <w:rsid w:val="0062215A"/>
    <w:rsid w:val="006232FC"/>
    <w:rsid w:val="006234CC"/>
    <w:rsid w:val="00625885"/>
    <w:rsid w:val="00632DE5"/>
    <w:rsid w:val="0063358A"/>
    <w:rsid w:val="006363B2"/>
    <w:rsid w:val="00637A48"/>
    <w:rsid w:val="00640EAD"/>
    <w:rsid w:val="00641331"/>
    <w:rsid w:val="00643C6D"/>
    <w:rsid w:val="00650545"/>
    <w:rsid w:val="00652481"/>
    <w:rsid w:val="00656C30"/>
    <w:rsid w:val="0066179C"/>
    <w:rsid w:val="006632A4"/>
    <w:rsid w:val="00665927"/>
    <w:rsid w:val="00670A79"/>
    <w:rsid w:val="00674168"/>
    <w:rsid w:val="00676A24"/>
    <w:rsid w:val="00680312"/>
    <w:rsid w:val="006816DF"/>
    <w:rsid w:val="0068376B"/>
    <w:rsid w:val="0068603A"/>
    <w:rsid w:val="00686555"/>
    <w:rsid w:val="00686CD5"/>
    <w:rsid w:val="006920D5"/>
    <w:rsid w:val="00696ECC"/>
    <w:rsid w:val="006A0141"/>
    <w:rsid w:val="006A04D5"/>
    <w:rsid w:val="006A443A"/>
    <w:rsid w:val="006A4B4E"/>
    <w:rsid w:val="006A5147"/>
    <w:rsid w:val="006A5AAC"/>
    <w:rsid w:val="006B12E3"/>
    <w:rsid w:val="006B48D7"/>
    <w:rsid w:val="006B4E4F"/>
    <w:rsid w:val="006B5A78"/>
    <w:rsid w:val="006B77EC"/>
    <w:rsid w:val="006C0134"/>
    <w:rsid w:val="006C082C"/>
    <w:rsid w:val="006C1309"/>
    <w:rsid w:val="006C2F7D"/>
    <w:rsid w:val="006C3DFA"/>
    <w:rsid w:val="006C4345"/>
    <w:rsid w:val="006C4370"/>
    <w:rsid w:val="006C5727"/>
    <w:rsid w:val="006C6FD2"/>
    <w:rsid w:val="006D0D50"/>
    <w:rsid w:val="006D498E"/>
    <w:rsid w:val="006D6F40"/>
    <w:rsid w:val="006E201B"/>
    <w:rsid w:val="006E4312"/>
    <w:rsid w:val="006E5C5D"/>
    <w:rsid w:val="006E69FC"/>
    <w:rsid w:val="006E7C0C"/>
    <w:rsid w:val="006F1C50"/>
    <w:rsid w:val="006F39B9"/>
    <w:rsid w:val="006F48D5"/>
    <w:rsid w:val="006F5305"/>
    <w:rsid w:val="006F5505"/>
    <w:rsid w:val="006F5C03"/>
    <w:rsid w:val="006F71F0"/>
    <w:rsid w:val="006F720D"/>
    <w:rsid w:val="007105EE"/>
    <w:rsid w:val="007129E9"/>
    <w:rsid w:val="00716D06"/>
    <w:rsid w:val="0071716F"/>
    <w:rsid w:val="00720DFF"/>
    <w:rsid w:val="00721535"/>
    <w:rsid w:val="007239CC"/>
    <w:rsid w:val="00723FFE"/>
    <w:rsid w:val="00732C89"/>
    <w:rsid w:val="00733BE8"/>
    <w:rsid w:val="00734695"/>
    <w:rsid w:val="0073538C"/>
    <w:rsid w:val="00737505"/>
    <w:rsid w:val="00743B1B"/>
    <w:rsid w:val="0075074D"/>
    <w:rsid w:val="007510FA"/>
    <w:rsid w:val="00752B97"/>
    <w:rsid w:val="0075461B"/>
    <w:rsid w:val="00760CE6"/>
    <w:rsid w:val="00762CD2"/>
    <w:rsid w:val="00765CD9"/>
    <w:rsid w:val="00773550"/>
    <w:rsid w:val="00773E20"/>
    <w:rsid w:val="007740DD"/>
    <w:rsid w:val="00775766"/>
    <w:rsid w:val="00784039"/>
    <w:rsid w:val="00784981"/>
    <w:rsid w:val="00785729"/>
    <w:rsid w:val="00787779"/>
    <w:rsid w:val="00794E7A"/>
    <w:rsid w:val="0079637B"/>
    <w:rsid w:val="007A19ED"/>
    <w:rsid w:val="007A4080"/>
    <w:rsid w:val="007A6B3D"/>
    <w:rsid w:val="007B62CD"/>
    <w:rsid w:val="007B6B42"/>
    <w:rsid w:val="007B70FB"/>
    <w:rsid w:val="007B7672"/>
    <w:rsid w:val="007B7C3B"/>
    <w:rsid w:val="007C1D90"/>
    <w:rsid w:val="007C2A2A"/>
    <w:rsid w:val="007D01D1"/>
    <w:rsid w:val="007D252D"/>
    <w:rsid w:val="007D738D"/>
    <w:rsid w:val="007D78B0"/>
    <w:rsid w:val="007E0787"/>
    <w:rsid w:val="007E14B1"/>
    <w:rsid w:val="007E2CAD"/>
    <w:rsid w:val="007E46AB"/>
    <w:rsid w:val="007E514B"/>
    <w:rsid w:val="007E79A1"/>
    <w:rsid w:val="007E7FAE"/>
    <w:rsid w:val="007F1B24"/>
    <w:rsid w:val="007F35F1"/>
    <w:rsid w:val="007F367B"/>
    <w:rsid w:val="007F3E50"/>
    <w:rsid w:val="007F47D9"/>
    <w:rsid w:val="007F60AA"/>
    <w:rsid w:val="007F64F7"/>
    <w:rsid w:val="007F6CA9"/>
    <w:rsid w:val="0080182C"/>
    <w:rsid w:val="00812405"/>
    <w:rsid w:val="00812B76"/>
    <w:rsid w:val="00815654"/>
    <w:rsid w:val="0082210D"/>
    <w:rsid w:val="00824FE2"/>
    <w:rsid w:val="00832002"/>
    <w:rsid w:val="00833EA6"/>
    <w:rsid w:val="00834E6B"/>
    <w:rsid w:val="008352E0"/>
    <w:rsid w:val="0083746D"/>
    <w:rsid w:val="008423F8"/>
    <w:rsid w:val="00844E19"/>
    <w:rsid w:val="008460E9"/>
    <w:rsid w:val="00850F3C"/>
    <w:rsid w:val="008512CE"/>
    <w:rsid w:val="0085138E"/>
    <w:rsid w:val="00852D83"/>
    <w:rsid w:val="0085388E"/>
    <w:rsid w:val="00854457"/>
    <w:rsid w:val="0086032A"/>
    <w:rsid w:val="00860F3A"/>
    <w:rsid w:val="00862961"/>
    <w:rsid w:val="00864271"/>
    <w:rsid w:val="00864AD4"/>
    <w:rsid w:val="00865FD7"/>
    <w:rsid w:val="00872667"/>
    <w:rsid w:val="0087432D"/>
    <w:rsid w:val="00874E3F"/>
    <w:rsid w:val="00875FF7"/>
    <w:rsid w:val="00876371"/>
    <w:rsid w:val="00881911"/>
    <w:rsid w:val="00881B4A"/>
    <w:rsid w:val="00883308"/>
    <w:rsid w:val="00883C7C"/>
    <w:rsid w:val="0089786C"/>
    <w:rsid w:val="008A2F15"/>
    <w:rsid w:val="008A4628"/>
    <w:rsid w:val="008B121F"/>
    <w:rsid w:val="008B2D30"/>
    <w:rsid w:val="008C34D2"/>
    <w:rsid w:val="008C3FAF"/>
    <w:rsid w:val="008C72E3"/>
    <w:rsid w:val="008D009E"/>
    <w:rsid w:val="008D2662"/>
    <w:rsid w:val="008D3920"/>
    <w:rsid w:val="008D4D4A"/>
    <w:rsid w:val="008D5A64"/>
    <w:rsid w:val="008D69D3"/>
    <w:rsid w:val="008D7288"/>
    <w:rsid w:val="008D76B7"/>
    <w:rsid w:val="008D7F2A"/>
    <w:rsid w:val="008E22B2"/>
    <w:rsid w:val="008E3375"/>
    <w:rsid w:val="008E5411"/>
    <w:rsid w:val="008E59E7"/>
    <w:rsid w:val="008E6656"/>
    <w:rsid w:val="008E6DB0"/>
    <w:rsid w:val="008E7862"/>
    <w:rsid w:val="008F0485"/>
    <w:rsid w:val="008F23AC"/>
    <w:rsid w:val="008F7922"/>
    <w:rsid w:val="00900374"/>
    <w:rsid w:val="00900897"/>
    <w:rsid w:val="009012D8"/>
    <w:rsid w:val="00903E07"/>
    <w:rsid w:val="00914334"/>
    <w:rsid w:val="00915439"/>
    <w:rsid w:val="00915ADE"/>
    <w:rsid w:val="00916328"/>
    <w:rsid w:val="009176DE"/>
    <w:rsid w:val="00920AFD"/>
    <w:rsid w:val="0092599C"/>
    <w:rsid w:val="00925CBA"/>
    <w:rsid w:val="00925FA6"/>
    <w:rsid w:val="0092692F"/>
    <w:rsid w:val="00927989"/>
    <w:rsid w:val="00943E35"/>
    <w:rsid w:val="00944113"/>
    <w:rsid w:val="009447E5"/>
    <w:rsid w:val="009451A0"/>
    <w:rsid w:val="009465FA"/>
    <w:rsid w:val="00952FBA"/>
    <w:rsid w:val="00961CEB"/>
    <w:rsid w:val="00962132"/>
    <w:rsid w:val="00963A71"/>
    <w:rsid w:val="00970B61"/>
    <w:rsid w:val="009732A9"/>
    <w:rsid w:val="0098046C"/>
    <w:rsid w:val="0098324F"/>
    <w:rsid w:val="0098550A"/>
    <w:rsid w:val="00992198"/>
    <w:rsid w:val="009925D5"/>
    <w:rsid w:val="009925DD"/>
    <w:rsid w:val="00993192"/>
    <w:rsid w:val="009A1AC0"/>
    <w:rsid w:val="009A28CB"/>
    <w:rsid w:val="009A371B"/>
    <w:rsid w:val="009B2098"/>
    <w:rsid w:val="009B779D"/>
    <w:rsid w:val="009C04AC"/>
    <w:rsid w:val="009C6530"/>
    <w:rsid w:val="009C7305"/>
    <w:rsid w:val="009D5942"/>
    <w:rsid w:val="009E6034"/>
    <w:rsid w:val="009F17BA"/>
    <w:rsid w:val="009F3C87"/>
    <w:rsid w:val="009F47EB"/>
    <w:rsid w:val="00A00728"/>
    <w:rsid w:val="00A01656"/>
    <w:rsid w:val="00A044BD"/>
    <w:rsid w:val="00A04D55"/>
    <w:rsid w:val="00A062DE"/>
    <w:rsid w:val="00A074F3"/>
    <w:rsid w:val="00A16E09"/>
    <w:rsid w:val="00A21DE7"/>
    <w:rsid w:val="00A22D9F"/>
    <w:rsid w:val="00A2320E"/>
    <w:rsid w:val="00A252FD"/>
    <w:rsid w:val="00A260B0"/>
    <w:rsid w:val="00A3068E"/>
    <w:rsid w:val="00A30F14"/>
    <w:rsid w:val="00A32B1F"/>
    <w:rsid w:val="00A35B6E"/>
    <w:rsid w:val="00A4076D"/>
    <w:rsid w:val="00A44DD7"/>
    <w:rsid w:val="00A51D4A"/>
    <w:rsid w:val="00A51D9E"/>
    <w:rsid w:val="00A613A1"/>
    <w:rsid w:val="00A70205"/>
    <w:rsid w:val="00A70DD4"/>
    <w:rsid w:val="00A71CAB"/>
    <w:rsid w:val="00A73B05"/>
    <w:rsid w:val="00A741E3"/>
    <w:rsid w:val="00A81801"/>
    <w:rsid w:val="00A83B6A"/>
    <w:rsid w:val="00A85E7C"/>
    <w:rsid w:val="00A85F0D"/>
    <w:rsid w:val="00A912EF"/>
    <w:rsid w:val="00A921F2"/>
    <w:rsid w:val="00A927BE"/>
    <w:rsid w:val="00A957F7"/>
    <w:rsid w:val="00A95D56"/>
    <w:rsid w:val="00A97A02"/>
    <w:rsid w:val="00AA13E8"/>
    <w:rsid w:val="00AA5AA7"/>
    <w:rsid w:val="00AA6B1C"/>
    <w:rsid w:val="00AB0534"/>
    <w:rsid w:val="00AB4DB4"/>
    <w:rsid w:val="00AB5F5B"/>
    <w:rsid w:val="00AB70B6"/>
    <w:rsid w:val="00AC46C8"/>
    <w:rsid w:val="00AC4ABC"/>
    <w:rsid w:val="00AC65BB"/>
    <w:rsid w:val="00AD147F"/>
    <w:rsid w:val="00AD2840"/>
    <w:rsid w:val="00AD287C"/>
    <w:rsid w:val="00AD2885"/>
    <w:rsid w:val="00AD4371"/>
    <w:rsid w:val="00AD50E7"/>
    <w:rsid w:val="00AD731F"/>
    <w:rsid w:val="00AE0F14"/>
    <w:rsid w:val="00AE2EA0"/>
    <w:rsid w:val="00AE49D0"/>
    <w:rsid w:val="00AE6B48"/>
    <w:rsid w:val="00AF1BA9"/>
    <w:rsid w:val="00AF20EF"/>
    <w:rsid w:val="00AF3F4D"/>
    <w:rsid w:val="00AF5846"/>
    <w:rsid w:val="00B03890"/>
    <w:rsid w:val="00B076E8"/>
    <w:rsid w:val="00B1185B"/>
    <w:rsid w:val="00B145CA"/>
    <w:rsid w:val="00B146B8"/>
    <w:rsid w:val="00B16034"/>
    <w:rsid w:val="00B21AD6"/>
    <w:rsid w:val="00B22335"/>
    <w:rsid w:val="00B25986"/>
    <w:rsid w:val="00B270C4"/>
    <w:rsid w:val="00B31CF3"/>
    <w:rsid w:val="00B349E9"/>
    <w:rsid w:val="00B34F15"/>
    <w:rsid w:val="00B426C3"/>
    <w:rsid w:val="00B45F50"/>
    <w:rsid w:val="00B5061C"/>
    <w:rsid w:val="00B50D6E"/>
    <w:rsid w:val="00B53085"/>
    <w:rsid w:val="00B561AA"/>
    <w:rsid w:val="00B57027"/>
    <w:rsid w:val="00B6141B"/>
    <w:rsid w:val="00B65178"/>
    <w:rsid w:val="00B66264"/>
    <w:rsid w:val="00B66849"/>
    <w:rsid w:val="00B67C17"/>
    <w:rsid w:val="00B731E1"/>
    <w:rsid w:val="00B75B86"/>
    <w:rsid w:val="00B77B8D"/>
    <w:rsid w:val="00B82354"/>
    <w:rsid w:val="00B91AAF"/>
    <w:rsid w:val="00B91E66"/>
    <w:rsid w:val="00B93B95"/>
    <w:rsid w:val="00B95A54"/>
    <w:rsid w:val="00B96C3A"/>
    <w:rsid w:val="00B96D07"/>
    <w:rsid w:val="00B97061"/>
    <w:rsid w:val="00BA64FD"/>
    <w:rsid w:val="00BA79F1"/>
    <w:rsid w:val="00BB047C"/>
    <w:rsid w:val="00BB15FA"/>
    <w:rsid w:val="00BB7C8F"/>
    <w:rsid w:val="00BC4014"/>
    <w:rsid w:val="00BC7CD1"/>
    <w:rsid w:val="00BD0495"/>
    <w:rsid w:val="00BD110A"/>
    <w:rsid w:val="00BD115E"/>
    <w:rsid w:val="00BD153B"/>
    <w:rsid w:val="00BD239A"/>
    <w:rsid w:val="00BD641D"/>
    <w:rsid w:val="00BE0DA6"/>
    <w:rsid w:val="00BE111B"/>
    <w:rsid w:val="00BE1D11"/>
    <w:rsid w:val="00BE216D"/>
    <w:rsid w:val="00BE43D4"/>
    <w:rsid w:val="00BE5278"/>
    <w:rsid w:val="00BF190A"/>
    <w:rsid w:val="00C022EC"/>
    <w:rsid w:val="00C0366E"/>
    <w:rsid w:val="00C03BDF"/>
    <w:rsid w:val="00C051DE"/>
    <w:rsid w:val="00C0751C"/>
    <w:rsid w:val="00C145FC"/>
    <w:rsid w:val="00C15DA0"/>
    <w:rsid w:val="00C21370"/>
    <w:rsid w:val="00C218FA"/>
    <w:rsid w:val="00C24368"/>
    <w:rsid w:val="00C24D9D"/>
    <w:rsid w:val="00C25D85"/>
    <w:rsid w:val="00C3010E"/>
    <w:rsid w:val="00C34B51"/>
    <w:rsid w:val="00C36B36"/>
    <w:rsid w:val="00C42BE2"/>
    <w:rsid w:val="00C4450E"/>
    <w:rsid w:val="00C449BE"/>
    <w:rsid w:val="00C554E7"/>
    <w:rsid w:val="00C565A9"/>
    <w:rsid w:val="00C5661C"/>
    <w:rsid w:val="00C7047A"/>
    <w:rsid w:val="00C71E0E"/>
    <w:rsid w:val="00C72401"/>
    <w:rsid w:val="00C749F0"/>
    <w:rsid w:val="00C757AF"/>
    <w:rsid w:val="00C7779F"/>
    <w:rsid w:val="00C8220C"/>
    <w:rsid w:val="00C921DF"/>
    <w:rsid w:val="00C96E96"/>
    <w:rsid w:val="00CA11F5"/>
    <w:rsid w:val="00CA51B9"/>
    <w:rsid w:val="00CA6CBB"/>
    <w:rsid w:val="00CB1F74"/>
    <w:rsid w:val="00CB2789"/>
    <w:rsid w:val="00CB7588"/>
    <w:rsid w:val="00CC4FB6"/>
    <w:rsid w:val="00CC5539"/>
    <w:rsid w:val="00CD0968"/>
    <w:rsid w:val="00CD2A89"/>
    <w:rsid w:val="00CD36FB"/>
    <w:rsid w:val="00CD3D17"/>
    <w:rsid w:val="00CD41F1"/>
    <w:rsid w:val="00CD6128"/>
    <w:rsid w:val="00CD74D3"/>
    <w:rsid w:val="00CE4A93"/>
    <w:rsid w:val="00CE5F4F"/>
    <w:rsid w:val="00CE6767"/>
    <w:rsid w:val="00CE7114"/>
    <w:rsid w:val="00CF0CF5"/>
    <w:rsid w:val="00CF39D8"/>
    <w:rsid w:val="00D0119D"/>
    <w:rsid w:val="00D02309"/>
    <w:rsid w:val="00D03362"/>
    <w:rsid w:val="00D04582"/>
    <w:rsid w:val="00D06FEC"/>
    <w:rsid w:val="00D12C29"/>
    <w:rsid w:val="00D12C89"/>
    <w:rsid w:val="00D13832"/>
    <w:rsid w:val="00D14101"/>
    <w:rsid w:val="00D34A27"/>
    <w:rsid w:val="00D352F7"/>
    <w:rsid w:val="00D35790"/>
    <w:rsid w:val="00D37930"/>
    <w:rsid w:val="00D40A93"/>
    <w:rsid w:val="00D4259D"/>
    <w:rsid w:val="00D42980"/>
    <w:rsid w:val="00D42B4C"/>
    <w:rsid w:val="00D43C2E"/>
    <w:rsid w:val="00D4725D"/>
    <w:rsid w:val="00D501AC"/>
    <w:rsid w:val="00D51651"/>
    <w:rsid w:val="00D51E94"/>
    <w:rsid w:val="00D5459F"/>
    <w:rsid w:val="00D57B49"/>
    <w:rsid w:val="00D7163E"/>
    <w:rsid w:val="00D76A7A"/>
    <w:rsid w:val="00D775EB"/>
    <w:rsid w:val="00D81DD0"/>
    <w:rsid w:val="00D83BD3"/>
    <w:rsid w:val="00D85443"/>
    <w:rsid w:val="00D86FE1"/>
    <w:rsid w:val="00D875F8"/>
    <w:rsid w:val="00D90851"/>
    <w:rsid w:val="00D92377"/>
    <w:rsid w:val="00D92608"/>
    <w:rsid w:val="00DA47CA"/>
    <w:rsid w:val="00DA4C74"/>
    <w:rsid w:val="00DA5C09"/>
    <w:rsid w:val="00DB458B"/>
    <w:rsid w:val="00DB5ABF"/>
    <w:rsid w:val="00DC07F0"/>
    <w:rsid w:val="00DC3CF9"/>
    <w:rsid w:val="00DC5636"/>
    <w:rsid w:val="00DD03ED"/>
    <w:rsid w:val="00DD344E"/>
    <w:rsid w:val="00DD51D0"/>
    <w:rsid w:val="00DE0CD1"/>
    <w:rsid w:val="00DE2E70"/>
    <w:rsid w:val="00DE3D64"/>
    <w:rsid w:val="00DE3D78"/>
    <w:rsid w:val="00DE5CFD"/>
    <w:rsid w:val="00DE5D60"/>
    <w:rsid w:val="00DE7853"/>
    <w:rsid w:val="00DF30A0"/>
    <w:rsid w:val="00DF6B09"/>
    <w:rsid w:val="00DF7C5B"/>
    <w:rsid w:val="00E0210E"/>
    <w:rsid w:val="00E034F4"/>
    <w:rsid w:val="00E03960"/>
    <w:rsid w:val="00E1028B"/>
    <w:rsid w:val="00E13269"/>
    <w:rsid w:val="00E154A9"/>
    <w:rsid w:val="00E15B2F"/>
    <w:rsid w:val="00E203EF"/>
    <w:rsid w:val="00E23667"/>
    <w:rsid w:val="00E25545"/>
    <w:rsid w:val="00E27927"/>
    <w:rsid w:val="00E3026E"/>
    <w:rsid w:val="00E319ED"/>
    <w:rsid w:val="00E338F7"/>
    <w:rsid w:val="00E405CB"/>
    <w:rsid w:val="00E460B4"/>
    <w:rsid w:val="00E51F76"/>
    <w:rsid w:val="00E52EE7"/>
    <w:rsid w:val="00E53B33"/>
    <w:rsid w:val="00E548F2"/>
    <w:rsid w:val="00E60349"/>
    <w:rsid w:val="00E63121"/>
    <w:rsid w:val="00E647D3"/>
    <w:rsid w:val="00E7293C"/>
    <w:rsid w:val="00E87D1B"/>
    <w:rsid w:val="00E927E4"/>
    <w:rsid w:val="00E97264"/>
    <w:rsid w:val="00E973C3"/>
    <w:rsid w:val="00E9779B"/>
    <w:rsid w:val="00EA216F"/>
    <w:rsid w:val="00EA498E"/>
    <w:rsid w:val="00EB118F"/>
    <w:rsid w:val="00EB1EC4"/>
    <w:rsid w:val="00EB27FB"/>
    <w:rsid w:val="00EB5827"/>
    <w:rsid w:val="00EC4639"/>
    <w:rsid w:val="00EC4B1D"/>
    <w:rsid w:val="00EC4E5C"/>
    <w:rsid w:val="00EC4FC9"/>
    <w:rsid w:val="00EC77E8"/>
    <w:rsid w:val="00ED3C82"/>
    <w:rsid w:val="00ED4C97"/>
    <w:rsid w:val="00ED4F4C"/>
    <w:rsid w:val="00EE39FF"/>
    <w:rsid w:val="00EF6042"/>
    <w:rsid w:val="00F0423F"/>
    <w:rsid w:val="00F0474E"/>
    <w:rsid w:val="00F066F4"/>
    <w:rsid w:val="00F13758"/>
    <w:rsid w:val="00F13C71"/>
    <w:rsid w:val="00F163B4"/>
    <w:rsid w:val="00F251C7"/>
    <w:rsid w:val="00F265DE"/>
    <w:rsid w:val="00F31959"/>
    <w:rsid w:val="00F320A6"/>
    <w:rsid w:val="00F32207"/>
    <w:rsid w:val="00F348B5"/>
    <w:rsid w:val="00F374A9"/>
    <w:rsid w:val="00F37897"/>
    <w:rsid w:val="00F4295A"/>
    <w:rsid w:val="00F53D30"/>
    <w:rsid w:val="00F53FE3"/>
    <w:rsid w:val="00F60160"/>
    <w:rsid w:val="00F64D31"/>
    <w:rsid w:val="00F65DA9"/>
    <w:rsid w:val="00F66126"/>
    <w:rsid w:val="00F670C6"/>
    <w:rsid w:val="00F702A1"/>
    <w:rsid w:val="00F709DC"/>
    <w:rsid w:val="00F71230"/>
    <w:rsid w:val="00F72180"/>
    <w:rsid w:val="00F75A88"/>
    <w:rsid w:val="00F76081"/>
    <w:rsid w:val="00F7694C"/>
    <w:rsid w:val="00F80595"/>
    <w:rsid w:val="00F82340"/>
    <w:rsid w:val="00F838E6"/>
    <w:rsid w:val="00F85BC3"/>
    <w:rsid w:val="00F869BE"/>
    <w:rsid w:val="00F9054D"/>
    <w:rsid w:val="00F92011"/>
    <w:rsid w:val="00F930B9"/>
    <w:rsid w:val="00F97B9F"/>
    <w:rsid w:val="00FA79D9"/>
    <w:rsid w:val="00FA7B77"/>
    <w:rsid w:val="00FB3423"/>
    <w:rsid w:val="00FB3C4C"/>
    <w:rsid w:val="00FB53BB"/>
    <w:rsid w:val="00FB588E"/>
    <w:rsid w:val="00FB7C9C"/>
    <w:rsid w:val="00FC269D"/>
    <w:rsid w:val="00FC43DC"/>
    <w:rsid w:val="00FC52CE"/>
    <w:rsid w:val="00FC7145"/>
    <w:rsid w:val="00FD14F1"/>
    <w:rsid w:val="00FD4925"/>
    <w:rsid w:val="00FD4BF3"/>
    <w:rsid w:val="00FD54C9"/>
    <w:rsid w:val="00FE0C85"/>
    <w:rsid w:val="00FE2A91"/>
    <w:rsid w:val="00FE2E73"/>
    <w:rsid w:val="00FE3D9D"/>
    <w:rsid w:val="00FE5B79"/>
    <w:rsid w:val="00FE6DAF"/>
    <w:rsid w:val="00FE7BB6"/>
    <w:rsid w:val="00FF1BCA"/>
    <w:rsid w:val="00FF263D"/>
    <w:rsid w:val="25402A51"/>
    <w:rsid w:val="3A37397C"/>
    <w:rsid w:val="6C88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3">
    <w:name w:val="heading 3"/>
    <w:basedOn w:val="1"/>
    <w:next w:val="1"/>
    <w:qFormat/>
    <w:uiPriority w:val="0"/>
    <w:pPr>
      <w:keepNext/>
      <w:keepLines/>
      <w:spacing w:before="260" w:after="260" w:line="416" w:lineRule="auto"/>
      <w:outlineLvl w:val="2"/>
    </w:pPr>
    <w:rPr>
      <w:b/>
      <w:bCs/>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085;&#24120;&#24037;&#20316;\&#25991;&#20214;\2015&#24180;&#24230;\&#25320;&#27454;&#25991;&#20214;\&#24453;&#21457;&#25991;&#20214;\&#36130;&#25320;&#25991;&#2021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522A1A-A9F8-4D7B-91FE-D1C067E2454F}">
  <ds:schemaRefs/>
</ds:datastoreItem>
</file>

<file path=docProps/app.xml><?xml version="1.0" encoding="utf-8"?>
<Properties xmlns="http://schemas.openxmlformats.org/officeDocument/2006/extended-properties" xmlns:vt="http://schemas.openxmlformats.org/officeDocument/2006/docPropsVTypes">
  <Template>财拨文件模板.dotx</Template>
  <Company>Micro</Company>
  <Pages>6</Pages>
  <Words>1748</Words>
  <Characters>265</Characters>
  <Lines>2</Lines>
  <Paragraphs>4</Paragraphs>
  <TotalTime>162</TotalTime>
  <ScaleCrop>false</ScaleCrop>
  <LinksUpToDate>false</LinksUpToDate>
  <CharactersWithSpaces>2009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2020-03-23T11:20:00Z</dcterms:created>
  <dc:creator>陈经民</dc:creator>
  <cp:lastModifiedBy>Administrator</cp:lastModifiedBy>
  <cp:lastPrinted>2019-12-19T07:43:00Z</cp:lastPrinted>
  <dcterms:modified xsi:type="dcterms:W3CDTF">2020-04-01T05:21:31Z</dcterms:modified>
  <dc:title>发文处理单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