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E1CC5">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44"/>
          <w:szCs w:val="44"/>
        </w:rPr>
      </w:pPr>
    </w:p>
    <w:p w14:paraId="7E5D1C76">
      <w:pPr>
        <w:pStyle w:val="2"/>
        <w:keepNext w:val="0"/>
        <w:keepLines w:val="0"/>
        <w:pageBreakBefore w:val="0"/>
        <w:widowControl w:val="0"/>
        <w:kinsoku/>
        <w:overflowPunct/>
        <w:topLinePunct w:val="0"/>
        <w:autoSpaceDE/>
        <w:autoSpaceDN/>
        <w:bidi w:val="0"/>
        <w:adjustRightInd/>
        <w:snapToGrid/>
        <w:spacing w:line="540" w:lineRule="exact"/>
        <w:textAlignment w:val="auto"/>
      </w:pPr>
    </w:p>
    <w:p w14:paraId="0D7596A5">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44"/>
          <w:szCs w:val="44"/>
        </w:rPr>
      </w:pPr>
    </w:p>
    <w:p w14:paraId="7DA5C504">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44"/>
          <w:szCs w:val="44"/>
        </w:rPr>
      </w:pPr>
    </w:p>
    <w:p w14:paraId="6BFF7918">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72"/>
          <w:szCs w:val="72"/>
        </w:rPr>
      </w:pPr>
    </w:p>
    <w:p w14:paraId="327839D3">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32"/>
          <w:szCs w:val="32"/>
        </w:rPr>
      </w:pPr>
    </w:p>
    <w:p w14:paraId="330CA9F8">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 w:val="32"/>
          <w:szCs w:val="32"/>
        </w:rPr>
      </w:pPr>
    </w:p>
    <w:p w14:paraId="52F58B4C">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eastAsia="方正仿宋简体" w:cs="方正仿宋简体"/>
          <w:sz w:val="32"/>
          <w:szCs w:val="32"/>
        </w:rPr>
      </w:pPr>
    </w:p>
    <w:p w14:paraId="51F56BBD">
      <w:pPr>
        <w:keepNext w:val="0"/>
        <w:keepLines w:val="0"/>
        <w:pageBreakBefore w:val="0"/>
        <w:widowControl w:val="0"/>
        <w:kinsoku/>
        <w:wordWrap w:val="0"/>
        <w:overflowPunct/>
        <w:topLinePunct w:val="0"/>
        <w:autoSpaceDE/>
        <w:autoSpaceDN/>
        <w:bidi w:val="0"/>
        <w:adjustRightInd/>
        <w:snapToGrid/>
        <w:spacing w:line="540" w:lineRule="exact"/>
        <w:jc w:val="center"/>
        <w:textAlignment w:val="auto"/>
        <w:rPr>
          <w:rFonts w:cs="方正仿宋简体"/>
          <w:sz w:val="32"/>
          <w:szCs w:val="32"/>
        </w:rPr>
      </w:pPr>
      <w:r>
        <w:rPr>
          <w:rFonts w:hint="eastAsia" w:eastAsia="方正仿宋简体" w:cs="方正仿宋简体"/>
          <w:sz w:val="32"/>
          <w:szCs w:val="32"/>
        </w:rPr>
        <w:t>师市环审〔2026〕</w:t>
      </w:r>
      <w:r>
        <w:rPr>
          <w:rFonts w:hint="eastAsia" w:eastAsia="方正仿宋简体" w:cs="方正仿宋简体"/>
          <w:sz w:val="32"/>
          <w:szCs w:val="32"/>
          <w:lang w:val="en-US" w:eastAsia="zh-CN"/>
        </w:rPr>
        <w:t>49</w:t>
      </w:r>
      <w:r>
        <w:rPr>
          <w:rFonts w:hint="eastAsia" w:eastAsia="方正仿宋简体" w:cs="方正仿宋简体"/>
          <w:sz w:val="32"/>
          <w:szCs w:val="32"/>
        </w:rPr>
        <w:t>号</w:t>
      </w:r>
    </w:p>
    <w:p w14:paraId="31667498">
      <w:pPr>
        <w:keepNext w:val="0"/>
        <w:keepLines w:val="0"/>
        <w:pageBreakBefore w:val="0"/>
        <w:widowControl w:val="0"/>
        <w:kinsoku/>
        <w:wordWrap w:val="0"/>
        <w:overflowPunct/>
        <w:topLinePunct w:val="0"/>
        <w:autoSpaceDE/>
        <w:autoSpaceDN/>
        <w:bidi w:val="0"/>
        <w:adjustRightInd/>
        <w:snapToGrid/>
        <w:spacing w:line="540" w:lineRule="exact"/>
        <w:textAlignment w:val="auto"/>
        <w:rPr>
          <w:rFonts w:cs="方正仿宋简体"/>
          <w:szCs w:val="21"/>
        </w:rPr>
      </w:pPr>
    </w:p>
    <w:p w14:paraId="105D9377">
      <w:pPr>
        <w:pStyle w:val="2"/>
        <w:wordWrap w:val="0"/>
        <w:spacing w:line="540" w:lineRule="exact"/>
        <w:ind w:firstLine="0"/>
        <w:jc w:val="center"/>
        <w:rPr>
          <w:rFonts w:eastAsia="方正小标宋简体" w:cs="方正小标宋简体"/>
          <w:bCs/>
          <w:color w:val="000000"/>
          <w:spacing w:val="-20"/>
          <w:sz w:val="44"/>
          <w:szCs w:val="44"/>
        </w:rPr>
      </w:pPr>
      <w:r>
        <w:rPr>
          <w:rFonts w:hint="eastAsia" w:eastAsia="方正小标宋简体" w:cs="方正小标宋简体"/>
          <w:bCs/>
          <w:color w:val="000000"/>
          <w:spacing w:val="-20"/>
          <w:sz w:val="44"/>
          <w:szCs w:val="44"/>
          <w:lang w:val="zh-CN"/>
        </w:rPr>
        <w:t>关于</w:t>
      </w:r>
      <w:r>
        <w:rPr>
          <w:rFonts w:hint="eastAsia" w:eastAsia="方正小标宋简体" w:cs="方正小标宋简体"/>
          <w:bCs/>
          <w:color w:val="000000"/>
          <w:spacing w:val="-20"/>
          <w:kern w:val="2"/>
          <w:sz w:val="44"/>
          <w:szCs w:val="44"/>
        </w:rPr>
        <w:t>新疆新域嘉华保温材料有限公司建筑保温材料项目环境影响报告表的</w:t>
      </w:r>
      <w:r>
        <w:rPr>
          <w:rFonts w:hint="eastAsia" w:eastAsia="方正小标宋简体" w:cs="方正小标宋简体"/>
          <w:bCs/>
          <w:color w:val="000000"/>
          <w:spacing w:val="-20"/>
          <w:sz w:val="44"/>
          <w:szCs w:val="44"/>
        </w:rPr>
        <w:t>批复</w:t>
      </w:r>
    </w:p>
    <w:p w14:paraId="1DBBBA05">
      <w:pPr>
        <w:widowControl/>
        <w:wordWrap w:val="0"/>
        <w:spacing w:line="540" w:lineRule="exact"/>
        <w:rPr>
          <w:rFonts w:eastAsia="方正小标宋简体" w:cs="方正小标宋简体"/>
          <w:bCs/>
          <w:sz w:val="44"/>
          <w:szCs w:val="44"/>
        </w:rPr>
      </w:pPr>
    </w:p>
    <w:p w14:paraId="2C82AA6B">
      <w:pPr>
        <w:widowControl/>
        <w:wordWrap w:val="0"/>
        <w:spacing w:line="540" w:lineRule="exact"/>
        <w:rPr>
          <w:rFonts w:eastAsia="方正仿宋简体" w:cs="方正仿宋简体"/>
          <w:sz w:val="32"/>
          <w:szCs w:val="32"/>
          <w:lang w:val="zh-CN"/>
        </w:rPr>
      </w:pPr>
      <w:r>
        <w:rPr>
          <w:rFonts w:hint="eastAsia" w:eastAsia="方正仿宋简体" w:cs="方正仿宋简体"/>
          <w:sz w:val="32"/>
          <w:szCs w:val="32"/>
          <w:lang w:val="zh-CN"/>
        </w:rPr>
        <w:t>新疆新域嘉华保温材料有限公司：</w:t>
      </w:r>
    </w:p>
    <w:p w14:paraId="48679914">
      <w:pPr>
        <w:pStyle w:val="5"/>
        <w:wordWrap w:val="0"/>
        <w:adjustRightInd w:val="0"/>
        <w:snapToGrid w:val="0"/>
        <w:spacing w:line="540" w:lineRule="exact"/>
        <w:ind w:firstLine="640" w:firstLineChars="200"/>
        <w:rPr>
          <w:rFonts w:eastAsia="方正仿宋简体" w:cs="方正仿宋简体"/>
          <w:sz w:val="32"/>
          <w:szCs w:val="32"/>
        </w:rPr>
      </w:pPr>
      <w:r>
        <w:rPr>
          <w:rFonts w:hint="eastAsia" w:eastAsia="方正仿宋简体" w:cs="方正仿宋简体"/>
          <w:sz w:val="32"/>
          <w:szCs w:val="32"/>
          <w:lang w:val="zh-CN"/>
        </w:rPr>
        <w:t>你单位报送的《关于送审新疆新域嘉华保温材料有限公司建筑保温材料项目环境影响报告表</w:t>
      </w:r>
      <w:r>
        <w:rPr>
          <w:rFonts w:hint="eastAsia" w:eastAsia="方正仿宋简体" w:cs="方正仿宋简体"/>
          <w:sz w:val="32"/>
          <w:szCs w:val="32"/>
        </w:rPr>
        <w:t>的请示》及《</w:t>
      </w:r>
      <w:r>
        <w:rPr>
          <w:rFonts w:hint="eastAsia" w:eastAsia="方正仿宋简体" w:cs="方正仿宋简体"/>
          <w:sz w:val="32"/>
          <w:szCs w:val="32"/>
          <w:lang w:val="zh-CN"/>
        </w:rPr>
        <w:t>新疆新域嘉华保温材料有限公司建筑保温材料项目</w:t>
      </w:r>
      <w:r>
        <w:rPr>
          <w:rFonts w:hint="eastAsia" w:eastAsia="方正仿宋简体" w:cs="方正仿宋简体"/>
          <w:sz w:val="32"/>
          <w:szCs w:val="32"/>
        </w:rPr>
        <w:t>环境影响报告表》（以下简称《报告表》）已收悉。经研究，现批复如下：</w:t>
      </w:r>
    </w:p>
    <w:p w14:paraId="412A7C93">
      <w:pPr>
        <w:spacing w:line="540" w:lineRule="exact"/>
        <w:ind w:firstLine="640" w:firstLineChars="200"/>
        <w:rPr>
          <w:rFonts w:eastAsia="方正仿宋简体" w:cs="方正仿宋简体"/>
          <w:sz w:val="32"/>
          <w:szCs w:val="32"/>
        </w:rPr>
      </w:pPr>
      <w:r>
        <w:rPr>
          <w:rFonts w:hint="eastAsia" w:eastAsia="方正黑体简体" w:cs="方正黑体简体"/>
          <w:sz w:val="32"/>
          <w:szCs w:val="32"/>
        </w:rPr>
        <w:t>一</w:t>
      </w:r>
      <w:r>
        <w:rPr>
          <w:rFonts w:hint="eastAsia" w:eastAsia="方正仿宋简体" w:cs="方正仿宋简体"/>
          <w:sz w:val="32"/>
          <w:szCs w:val="32"/>
        </w:rPr>
        <w:t>、该项目位于阿拉尔经济技术开发区，项目区东侧为阿拉尔市伟泰新型建材有限责任公司、南侧为新疆新聚丰特种纱业有限公司、西侧为九团三连、北侧为阿拉尔市杨宁立万新旧货经营部。项目总占地面积为7635平方米，中心地理位置坐标为东经81</w:t>
      </w:r>
      <w:r>
        <w:rPr>
          <w:rFonts w:hint="eastAsia" w:eastAsia="方正仿宋简体" w:cs="方正仿宋简体"/>
          <w:sz w:val="32"/>
          <w:szCs w:val="32"/>
          <w:lang w:eastAsia="zh-CN"/>
        </w:rPr>
        <w:t>°</w:t>
      </w:r>
      <w:r>
        <w:rPr>
          <w:rFonts w:hint="eastAsia" w:eastAsia="方正仿宋简体" w:cs="方正仿宋简体"/>
          <w:sz w:val="32"/>
          <w:szCs w:val="32"/>
        </w:rPr>
        <w:t>14′35.612″，北纬40</w:t>
      </w:r>
      <w:r>
        <w:rPr>
          <w:rFonts w:hint="eastAsia" w:eastAsia="方正仿宋简体" w:cs="方正仿宋简体"/>
          <w:sz w:val="32"/>
          <w:szCs w:val="32"/>
          <w:lang w:eastAsia="zh-CN"/>
        </w:rPr>
        <w:t>°</w:t>
      </w:r>
      <w:r>
        <w:rPr>
          <w:rFonts w:hint="eastAsia" w:eastAsia="方正仿宋简体" w:cs="方正仿宋简体"/>
          <w:sz w:val="32"/>
          <w:szCs w:val="32"/>
        </w:rPr>
        <w:t>34′29.157″。该项目已于2022年4月建成，建设内容为1条苯板生产线、1条免拆一体板生产线及其</w:t>
      </w:r>
      <w:r>
        <w:rPr>
          <w:rFonts w:hint="eastAsia" w:eastAsia="方正仿宋简体" w:cs="方正仿宋简体"/>
          <w:sz w:val="32"/>
          <w:szCs w:val="32"/>
          <w:lang w:val="zh-CN"/>
        </w:rPr>
        <w:t>配套设</w:t>
      </w:r>
      <w:r>
        <w:rPr>
          <w:rFonts w:hint="eastAsia" w:eastAsia="方正仿宋简体" w:cs="方正仿宋简体"/>
          <w:sz w:val="32"/>
          <w:szCs w:val="32"/>
        </w:rPr>
        <w:t>施</w:t>
      </w:r>
      <w:r>
        <w:rPr>
          <w:rFonts w:hint="eastAsia" w:eastAsia="方正仿宋简体" w:cs="方正仿宋简体"/>
          <w:sz w:val="32"/>
          <w:szCs w:val="32"/>
          <w:lang w:val="zh-CN"/>
        </w:rPr>
        <w:t>，</w:t>
      </w:r>
      <w:r>
        <w:rPr>
          <w:rFonts w:hint="eastAsia" w:eastAsia="方正仿宋简体" w:cs="方正仿宋简体"/>
          <w:sz w:val="32"/>
          <w:szCs w:val="32"/>
        </w:rPr>
        <w:t>年产苯板500吨，免拆一体板20000平方米。项目总投资1500万元，其中环保投资43.5万元，占总投资的2.9%。</w:t>
      </w:r>
    </w:p>
    <w:p w14:paraId="7968EBF4">
      <w:pPr>
        <w:widowControl/>
        <w:wordWrap w:val="0"/>
        <w:spacing w:line="540" w:lineRule="exact"/>
        <w:ind w:firstLine="640" w:firstLineChars="200"/>
        <w:rPr>
          <w:rFonts w:eastAsia="方正仿宋简体" w:cs="方正仿宋简体"/>
          <w:sz w:val="32"/>
          <w:szCs w:val="32"/>
        </w:rPr>
      </w:pPr>
      <w:r>
        <w:rPr>
          <w:rFonts w:hint="eastAsia" w:eastAsia="方正黑体简体" w:cs="方正黑体简体"/>
          <w:sz w:val="32"/>
          <w:szCs w:val="32"/>
          <w:lang w:val="zh-CN"/>
        </w:rPr>
        <w:t>二</w:t>
      </w:r>
      <w:r>
        <w:rPr>
          <w:rFonts w:hint="eastAsia" w:eastAsia="方正仿宋简体" w:cs="方正仿宋简体"/>
          <w:sz w:val="32"/>
          <w:szCs w:val="32"/>
          <w:lang w:val="zh-CN"/>
        </w:rPr>
        <w:t>、根据成都新环众科</w:t>
      </w:r>
      <w:r>
        <w:rPr>
          <w:rFonts w:hint="eastAsia" w:eastAsia="方正仿宋简体" w:cs="方正仿宋简体"/>
          <w:sz w:val="32"/>
          <w:szCs w:val="32"/>
        </w:rPr>
        <w:t>检测</w:t>
      </w:r>
      <w:r>
        <w:rPr>
          <w:rFonts w:hint="eastAsia" w:eastAsia="方正仿宋简体" w:cs="方正仿宋简体"/>
          <w:sz w:val="32"/>
          <w:szCs w:val="32"/>
          <w:lang w:val="zh-CN"/>
        </w:rPr>
        <w:t>技术有限公司编制的《报告表》评价结论</w:t>
      </w:r>
      <w:r>
        <w:rPr>
          <w:rFonts w:hint="eastAsia" w:eastAsia="方正仿宋简体" w:cs="方正仿宋简体"/>
          <w:sz w:val="32"/>
          <w:szCs w:val="32"/>
        </w:rPr>
        <w:t>和</w:t>
      </w:r>
      <w:r>
        <w:rPr>
          <w:rFonts w:hint="eastAsia" w:eastAsia="方正仿宋_GB2312"/>
          <w:sz w:val="32"/>
          <w:szCs w:val="32"/>
        </w:rPr>
        <w:t>专家对项目的评价意见</w:t>
      </w:r>
      <w:r>
        <w:rPr>
          <w:rFonts w:hint="eastAsia" w:eastAsia="方正仿宋简体" w:cs="方正仿宋简体"/>
          <w:sz w:val="32"/>
          <w:szCs w:val="32"/>
          <w:lang w:val="zh-CN"/>
        </w:rPr>
        <w:t>，该项目属于</w:t>
      </w:r>
      <w:r>
        <w:rPr>
          <w:rFonts w:hint="eastAsia" w:eastAsia="方正仿宋简体" w:cs="方正仿宋简体"/>
          <w:sz w:val="32"/>
          <w:szCs w:val="32"/>
        </w:rPr>
        <w:t>橡胶和塑料制品业、非金属矿物制品业</w:t>
      </w:r>
      <w:r>
        <w:rPr>
          <w:rFonts w:hint="eastAsia" w:eastAsia="方正仿宋简体" w:cs="方正仿宋简体"/>
          <w:sz w:val="32"/>
          <w:szCs w:val="32"/>
          <w:lang w:val="zh-CN"/>
        </w:rPr>
        <w:t>项目，在符合产业政策、选址符合国土空间规划等相关规划的前提下，从环境保护的角度，我局原则同意《报告表》结论</w:t>
      </w:r>
      <w:r>
        <w:rPr>
          <w:rFonts w:hint="eastAsia" w:eastAsia="方正仿宋简体" w:cs="方正仿宋简体"/>
          <w:sz w:val="32"/>
          <w:szCs w:val="32"/>
        </w:rPr>
        <w:t>。</w:t>
      </w:r>
    </w:p>
    <w:p w14:paraId="62730994">
      <w:pPr>
        <w:widowControl/>
        <w:wordWrap w:val="0"/>
        <w:spacing w:line="540" w:lineRule="exact"/>
        <w:ind w:firstLine="640" w:firstLineChars="200"/>
        <w:rPr>
          <w:rFonts w:eastAsia="方正仿宋简体" w:cs="方正仿宋简体"/>
          <w:sz w:val="32"/>
          <w:szCs w:val="32"/>
          <w:lang w:val="zh-CN"/>
        </w:rPr>
      </w:pPr>
      <w:r>
        <w:rPr>
          <w:rFonts w:hint="eastAsia" w:eastAsia="方正黑体简体" w:cs="方正黑体简体"/>
          <w:sz w:val="32"/>
          <w:szCs w:val="32"/>
          <w:lang w:val="zh-CN"/>
        </w:rPr>
        <w:t>三</w:t>
      </w:r>
      <w:r>
        <w:rPr>
          <w:rFonts w:hint="eastAsia" w:eastAsia="方正仿宋简体" w:cs="方正仿宋简体"/>
          <w:sz w:val="32"/>
          <w:szCs w:val="32"/>
          <w:lang w:val="zh-CN"/>
        </w:rPr>
        <w:t>、你单位在项目运营</w:t>
      </w:r>
      <w:r>
        <w:rPr>
          <w:rFonts w:hint="eastAsia" w:eastAsia="方正仿宋简体" w:cs="方正仿宋简体"/>
          <w:sz w:val="32"/>
          <w:szCs w:val="32"/>
        </w:rPr>
        <w:t>过程</w:t>
      </w:r>
      <w:r>
        <w:rPr>
          <w:rFonts w:hint="eastAsia" w:eastAsia="方正仿宋简体" w:cs="方正仿宋简体"/>
          <w:sz w:val="32"/>
          <w:szCs w:val="32"/>
          <w:lang w:val="zh-CN"/>
        </w:rPr>
        <w:t>中，应严格执行有关环境质量标准和污染物排放标准，认真、全面落实《报告表》提出的各项环保对策措施和要求，确保污染物达标排放和各环境敏感点满足相应功能要求。重点做好以下工作：</w:t>
      </w:r>
    </w:p>
    <w:p w14:paraId="20766CD2">
      <w:pPr>
        <w:spacing w:line="540" w:lineRule="exact"/>
        <w:ind w:firstLine="640" w:firstLineChars="200"/>
        <w:rPr>
          <w:rFonts w:eastAsia="方正仿宋简体" w:cs="方正仿宋简体"/>
          <w:sz w:val="32"/>
          <w:szCs w:val="32"/>
        </w:rPr>
      </w:pPr>
      <w:r>
        <w:rPr>
          <w:rFonts w:hint="eastAsia" w:eastAsia="方正楷体简体" w:cs="方正楷体简体"/>
          <w:kern w:val="0"/>
          <w:sz w:val="32"/>
          <w:szCs w:val="32"/>
          <w:lang w:val="zh-CN"/>
        </w:rPr>
        <w:t>（一）</w:t>
      </w:r>
      <w:r>
        <w:rPr>
          <w:rFonts w:hint="eastAsia" w:eastAsia="方正楷体简体" w:cs="方正楷体简体"/>
          <w:kern w:val="0"/>
          <w:sz w:val="32"/>
          <w:szCs w:val="32"/>
        </w:rPr>
        <w:t>严格落实大气污染防治措施。</w:t>
      </w:r>
      <w:r>
        <w:rPr>
          <w:rFonts w:hint="eastAsia" w:eastAsia="方正仿宋简体" w:cs="方正仿宋简体"/>
          <w:sz w:val="32"/>
          <w:szCs w:val="32"/>
        </w:rPr>
        <w:t>该项目运营期产生的废气主要为苯板生产线发泡废气、水泥仓呼吸粉尘、砂子上料粉尘、干搅拌粉尘及切割粉尘。苯板生产线发泡废气由集气罩收集后，经三级活性炭（TA001）吸附处理</w:t>
      </w:r>
      <w:r>
        <w:rPr>
          <w:rFonts w:hint="eastAsia" w:eastAsia="方正仿宋简体" w:cs="方正仿宋简体"/>
          <w:sz w:val="32"/>
          <w:szCs w:val="32"/>
          <w:lang w:eastAsia="zh-CN"/>
        </w:rPr>
        <w:t>，</w:t>
      </w:r>
      <w:r>
        <w:rPr>
          <w:rFonts w:hint="eastAsia" w:eastAsia="方正仿宋简体" w:cs="方正仿宋简体"/>
          <w:sz w:val="32"/>
          <w:szCs w:val="32"/>
          <w:lang w:val="en-US" w:eastAsia="zh-CN"/>
        </w:rPr>
        <w:t>废气中非甲烷总烃</w:t>
      </w:r>
      <w:r>
        <w:rPr>
          <w:rFonts w:hint="eastAsia" w:eastAsia="方正仿宋简体" w:cs="方正仿宋简体"/>
          <w:color w:val="auto"/>
          <w:sz w:val="32"/>
          <w:szCs w:val="32"/>
        </w:rPr>
        <w:t>须满足《合成树脂工业污染物排放标准》（GB 31572-2015）（含2024年修改单）中表4标准后，通过一根15米高排气筒（DA001）排放。免拆一体板生产线水泥仓粉尘通过密闭管道收集，砂子上料粉尘、干搅拌粉尘及切割粉尘由集气罩收集，经布袋除尘设施处理，</w:t>
      </w:r>
      <w:r>
        <w:rPr>
          <w:rFonts w:hint="eastAsia" w:eastAsia="方正仿宋简体" w:cs="方正仿宋简体"/>
          <w:color w:val="auto"/>
          <w:sz w:val="32"/>
          <w:szCs w:val="32"/>
          <w:lang w:val="en-US" w:eastAsia="zh-CN"/>
        </w:rPr>
        <w:t>废气中颗粒物须</w:t>
      </w:r>
      <w:r>
        <w:rPr>
          <w:rFonts w:hint="eastAsia" w:eastAsia="方正仿宋简体" w:cs="方正仿宋简体"/>
          <w:color w:val="auto"/>
          <w:sz w:val="32"/>
          <w:szCs w:val="32"/>
        </w:rPr>
        <w:t>满足</w:t>
      </w:r>
      <w:r>
        <w:rPr>
          <w:rFonts w:hint="eastAsia" w:eastAsia="方正仿宋简体" w:cs="方正仿宋简体"/>
          <w:sz w:val="32"/>
          <w:szCs w:val="32"/>
        </w:rPr>
        <w:t>《水泥工业大气污染物排放标准》（GB 4915-2013）表1标准限值要求后，通过一根15米高排气筒（DA002）排放。</w:t>
      </w:r>
    </w:p>
    <w:p w14:paraId="262E0146">
      <w:pPr>
        <w:spacing w:line="540" w:lineRule="exact"/>
        <w:ind w:firstLine="640" w:firstLineChars="200"/>
        <w:rPr>
          <w:rFonts w:eastAsia="方正仿宋简体" w:cs="方正仿宋简体"/>
          <w:sz w:val="32"/>
          <w:szCs w:val="32"/>
        </w:rPr>
      </w:pPr>
      <w:r>
        <w:rPr>
          <w:rFonts w:hint="eastAsia" w:eastAsia="方正仿宋简体" w:cs="方正仿宋简体"/>
          <w:sz w:val="32"/>
          <w:szCs w:val="32"/>
        </w:rPr>
        <w:t>苯板生产车间、免拆一体板生产车间通过采取保障废气治理设施稳定运行，加强车间通排风等措施，确保厂界无组织非甲烷总烃排放满足《合成树脂工业污染物排放标准》（GB 31572-2015）（含2024年修改单）表9标准限值；厂界无组织颗粒物排放满足《水泥工业大气污染物排放标准》（GB 4915-2013）表3标准限值；厂区内无组织非甲烷总烃排放满足《挥发性有机物无组织排放控制标准》（GB 37822-2019）中表A.1标准限值。</w:t>
      </w:r>
    </w:p>
    <w:p w14:paraId="225643CB">
      <w:pPr>
        <w:wordWrap w:val="0"/>
        <w:overflowPunct w:val="0"/>
        <w:spacing w:line="540" w:lineRule="exact"/>
        <w:ind w:firstLine="640" w:firstLineChars="200"/>
        <w:rPr>
          <w:rFonts w:eastAsia="方正仿宋简体" w:cs="方正仿宋简体"/>
          <w:sz w:val="32"/>
          <w:szCs w:val="32"/>
        </w:rPr>
      </w:pPr>
      <w:r>
        <w:rPr>
          <w:rFonts w:hint="eastAsia" w:eastAsia="方正楷体简体" w:cs="方正楷体简体"/>
          <w:kern w:val="0"/>
          <w:sz w:val="32"/>
          <w:szCs w:val="32"/>
        </w:rPr>
        <w:t>（二）</w:t>
      </w:r>
      <w:r>
        <w:rPr>
          <w:rFonts w:hint="eastAsia" w:eastAsia="方正楷体简体" w:cs="方正楷体简体"/>
          <w:kern w:val="0"/>
          <w:sz w:val="32"/>
          <w:szCs w:val="32"/>
          <w:lang w:val="zh-CN"/>
        </w:rPr>
        <w:t>严格落实水污染防治措施。</w:t>
      </w:r>
      <w:r>
        <w:rPr>
          <w:rFonts w:hint="eastAsia" w:eastAsia="方正仿宋简体" w:cs="方正仿宋简体"/>
          <w:sz w:val="32"/>
          <w:szCs w:val="32"/>
        </w:rPr>
        <w:t>该项目运营期产生的废水主要为生活污水，生活污水须满足《污水综合排放标准》（GB 8978-1996）表4三级标准要求后，经园区污水管网进入艾特克污水处理厂处理。</w:t>
      </w:r>
    </w:p>
    <w:p w14:paraId="33B6105D">
      <w:pPr>
        <w:adjustRightInd w:val="0"/>
        <w:snapToGrid w:val="0"/>
        <w:spacing w:line="540" w:lineRule="exact"/>
        <w:ind w:firstLine="640" w:firstLineChars="200"/>
        <w:outlineLvl w:val="0"/>
        <w:rPr>
          <w:rFonts w:eastAsia="方正仿宋简体" w:cs="方正仿宋简体"/>
          <w:sz w:val="32"/>
          <w:szCs w:val="32"/>
        </w:rPr>
      </w:pPr>
      <w:r>
        <w:rPr>
          <w:rFonts w:hint="eastAsia" w:eastAsia="方正楷体简体" w:cs="方正楷体简体"/>
          <w:kern w:val="0"/>
          <w:sz w:val="32"/>
          <w:szCs w:val="32"/>
          <w:lang w:val="zh-CN"/>
        </w:rPr>
        <w:t>（</w:t>
      </w:r>
      <w:r>
        <w:rPr>
          <w:rFonts w:hint="eastAsia" w:eastAsia="方正楷体简体" w:cs="方正楷体简体"/>
          <w:kern w:val="0"/>
          <w:sz w:val="32"/>
          <w:szCs w:val="32"/>
        </w:rPr>
        <w:t>三</w:t>
      </w:r>
      <w:r>
        <w:rPr>
          <w:rFonts w:hint="eastAsia" w:eastAsia="方正楷体简体" w:cs="方正楷体简体"/>
          <w:kern w:val="0"/>
          <w:sz w:val="32"/>
          <w:szCs w:val="32"/>
          <w:lang w:val="zh-CN"/>
        </w:rPr>
        <w:t>）严格落实噪声污染防治措施。</w:t>
      </w:r>
      <w:r>
        <w:rPr>
          <w:rFonts w:hint="eastAsia" w:eastAsia="方正仿宋简体" w:cs="方正仿宋简体"/>
          <w:sz w:val="32"/>
          <w:szCs w:val="32"/>
        </w:rPr>
        <w:t>该项目运营期产生的噪声主要为切割机、发泡机、搅拌机等机械设备噪声。通过加强生产管理及绿化，优选设备，厂房隔声、基础减震，距离衰减等措施，</w:t>
      </w:r>
      <w:r>
        <w:rPr>
          <w:rFonts w:hint="eastAsia" w:ascii="宋体" w:hAnsi="宋体" w:eastAsia="方正仿宋简体" w:cs="方正仿宋简体"/>
          <w:sz w:val="32"/>
          <w:szCs w:val="32"/>
        </w:rPr>
        <w:t>确保噪声排放须</w:t>
      </w:r>
      <w:r>
        <w:rPr>
          <w:rFonts w:hint="eastAsia" w:eastAsia="方正仿宋简体" w:cs="方正仿宋简体"/>
          <w:sz w:val="32"/>
          <w:szCs w:val="32"/>
        </w:rPr>
        <w:t>满足《工业企业厂界环境噪声排放标准》（</w:t>
      </w:r>
      <w:r>
        <w:rPr>
          <w:rFonts w:hint="eastAsia" w:eastAsia="方正仿宋简体" w:cs="方正仿宋简体"/>
          <w:sz w:val="32"/>
          <w:szCs w:val="32"/>
          <w:lang w:eastAsia="zh-CN"/>
        </w:rPr>
        <w:t>GB 12348</w:t>
      </w:r>
      <w:r>
        <w:rPr>
          <w:rFonts w:hint="eastAsia" w:eastAsia="方正仿宋简体" w:cs="方正仿宋简体"/>
          <w:sz w:val="32"/>
          <w:szCs w:val="32"/>
        </w:rPr>
        <w:t>-2008）中3类标准要求。</w:t>
      </w:r>
    </w:p>
    <w:p w14:paraId="5FD479CC">
      <w:pPr>
        <w:spacing w:line="540" w:lineRule="exact"/>
        <w:ind w:firstLine="640" w:firstLineChars="200"/>
        <w:rPr>
          <w:rFonts w:eastAsia="方正仿宋简体" w:cs="方正仿宋简体"/>
          <w:sz w:val="32"/>
          <w:szCs w:val="32"/>
        </w:rPr>
      </w:pPr>
      <w:r>
        <w:rPr>
          <w:rFonts w:hint="eastAsia" w:eastAsia="方正楷体简体" w:cs="方正楷体简体"/>
          <w:kern w:val="0"/>
          <w:sz w:val="32"/>
          <w:szCs w:val="32"/>
          <w:lang w:val="zh-CN"/>
        </w:rPr>
        <w:t>（</w:t>
      </w:r>
      <w:r>
        <w:rPr>
          <w:rFonts w:hint="eastAsia" w:eastAsia="方正楷体简体" w:cs="方正楷体简体"/>
          <w:kern w:val="0"/>
          <w:sz w:val="32"/>
          <w:szCs w:val="32"/>
        </w:rPr>
        <w:t>四</w:t>
      </w:r>
      <w:r>
        <w:rPr>
          <w:rFonts w:hint="eastAsia" w:eastAsia="方正楷体简体" w:cs="方正楷体简体"/>
          <w:kern w:val="0"/>
          <w:sz w:val="32"/>
          <w:szCs w:val="32"/>
          <w:lang w:val="zh-CN"/>
        </w:rPr>
        <w:t>）严格落实固体废物分类处置措施。</w:t>
      </w:r>
      <w:r>
        <w:rPr>
          <w:rFonts w:hint="eastAsia" w:eastAsia="方正仿宋简体" w:cs="方正仿宋简体"/>
          <w:sz w:val="32"/>
          <w:szCs w:val="32"/>
        </w:rPr>
        <w:t>该项目运营期固废主要为废矿物油、废活性炭等危险废物，废原辅料包装袋、苯板边角料及不合格品、免拆一体板边角料及不合格品、除尘设施收集尘等一般固废和生活垃圾。废矿物油、废活性炭收集后分区暂存于危废贮存点，委托有资质的危险废物处置单位定期清运处理，严格执行危险废物转移联单制度，按照《危险废物贮存污染控制标准》（GB 18597-2023）建设和管理危险废物贮存点。废原辅料包装袋收集后定期外售给相关回收单位综合利用。苯板边角料及不合格品收集后回用于发泡工序。免拆一体板边角料及不合格品、除尘设施收集尘收集后回用于免拆一体板生产线。生活垃圾收集后由当地环卫部门定期清运至生活垃圾填埋场。</w:t>
      </w:r>
    </w:p>
    <w:p w14:paraId="45C56276">
      <w:pPr>
        <w:spacing w:line="550" w:lineRule="exact"/>
        <w:ind w:firstLine="640" w:firstLineChars="200"/>
        <w:rPr>
          <w:rFonts w:eastAsia="方正仿宋简体" w:cs="方正仿宋简体"/>
          <w:sz w:val="32"/>
          <w:szCs w:val="32"/>
        </w:rPr>
      </w:pPr>
      <w:r>
        <w:rPr>
          <w:rFonts w:hint="eastAsia" w:eastAsia="方正楷体简体" w:cs="方正楷体简体"/>
          <w:kern w:val="0"/>
          <w:sz w:val="32"/>
          <w:szCs w:val="32"/>
          <w:lang w:val="zh-CN"/>
        </w:rPr>
        <w:t>（</w:t>
      </w:r>
      <w:r>
        <w:rPr>
          <w:rFonts w:hint="eastAsia" w:eastAsia="方正楷体简体" w:cs="方正楷体简体"/>
          <w:kern w:val="0"/>
          <w:sz w:val="32"/>
          <w:szCs w:val="32"/>
        </w:rPr>
        <w:t>五</w:t>
      </w:r>
      <w:r>
        <w:rPr>
          <w:rFonts w:hint="eastAsia" w:eastAsia="方正楷体简体" w:cs="方正楷体简体"/>
          <w:kern w:val="0"/>
          <w:sz w:val="32"/>
          <w:szCs w:val="32"/>
          <w:lang w:val="zh-CN"/>
        </w:rPr>
        <w:t>）严格落实地下水和土壤污染防治措施。</w:t>
      </w:r>
      <w:r>
        <w:rPr>
          <w:rFonts w:hint="eastAsia" w:eastAsia="方正仿宋简体" w:cs="方正仿宋简体"/>
          <w:sz w:val="32"/>
          <w:szCs w:val="32"/>
        </w:rPr>
        <w:t>根据《环境影响评价技术导则 地下水环境》（</w:t>
      </w:r>
      <w:r>
        <w:rPr>
          <w:rFonts w:hint="eastAsia" w:eastAsia="方正仿宋简体" w:cs="方正仿宋简体"/>
          <w:sz w:val="32"/>
          <w:szCs w:val="32"/>
          <w:lang w:eastAsia="zh-CN"/>
        </w:rPr>
        <w:t>HJ 610</w:t>
      </w:r>
      <w:r>
        <w:rPr>
          <w:rFonts w:hint="eastAsia" w:eastAsia="方正仿宋简体" w:cs="方正仿宋简体"/>
          <w:sz w:val="32"/>
          <w:szCs w:val="32"/>
        </w:rPr>
        <w:t>-2016）要求，将厂区划分为重点防渗区、一般防渗区及简单防渗区。重点防渗区为危险废物贮存点，按照《危险废物贮存污染控制标准》（</w:t>
      </w:r>
      <w:r>
        <w:rPr>
          <w:rFonts w:hint="eastAsia" w:eastAsia="方正仿宋简体" w:cs="方正仿宋简体"/>
          <w:sz w:val="32"/>
          <w:szCs w:val="32"/>
          <w:lang w:eastAsia="zh-CN"/>
        </w:rPr>
        <w:t>GB 18597-2023</w:t>
      </w:r>
      <w:r>
        <w:rPr>
          <w:rFonts w:hint="eastAsia" w:eastAsia="方正仿宋简体" w:cs="方正仿宋简体"/>
          <w:sz w:val="32"/>
          <w:szCs w:val="32"/>
        </w:rPr>
        <w:t>）要求执行；一般防渗区为生产车间，等效黏土防渗层Mb≥1.5米，渗透系数K≤1×10</w:t>
      </w:r>
      <w:r>
        <w:rPr>
          <w:rFonts w:hint="eastAsia" w:eastAsia="方正仿宋简体" w:cs="方正仿宋简体"/>
          <w:sz w:val="32"/>
          <w:szCs w:val="32"/>
          <w:vertAlign w:val="superscript"/>
        </w:rPr>
        <w:t>-7</w:t>
      </w:r>
      <w:r>
        <w:rPr>
          <w:rFonts w:hint="eastAsia" w:eastAsia="方正仿宋简体" w:cs="方正仿宋简体"/>
          <w:sz w:val="32"/>
          <w:szCs w:val="32"/>
        </w:rPr>
        <w:t>cm/s；简单防渗区为生活办公区、厂区地面、库房及其他地区，</w:t>
      </w:r>
      <w:r>
        <w:rPr>
          <w:rFonts w:hint="eastAsia" w:ascii="宋体" w:hAnsi="宋体" w:eastAsia="方正仿宋简体" w:cs="方正仿宋简体"/>
          <w:sz w:val="32"/>
          <w:szCs w:val="32"/>
        </w:rPr>
        <w:t>采取一般性的地面硬化措施。</w:t>
      </w:r>
    </w:p>
    <w:p w14:paraId="75D2B495">
      <w:pPr>
        <w:pStyle w:val="5"/>
        <w:adjustRightInd w:val="0"/>
        <w:snapToGrid w:val="0"/>
        <w:spacing w:line="530" w:lineRule="exact"/>
        <w:ind w:firstLine="640" w:firstLineChars="200"/>
        <w:rPr>
          <w:rFonts w:eastAsia="方正仿宋简体" w:cs="方正仿宋简体"/>
          <w:sz w:val="32"/>
          <w:szCs w:val="32"/>
        </w:rPr>
      </w:pPr>
      <w:r>
        <w:rPr>
          <w:rFonts w:hint="eastAsia" w:eastAsia="方正楷体简体" w:cs="方正楷体简体"/>
          <w:kern w:val="0"/>
          <w:sz w:val="32"/>
          <w:szCs w:val="32"/>
          <w:lang w:val="zh-CN"/>
        </w:rPr>
        <w:t>（</w:t>
      </w:r>
      <w:r>
        <w:rPr>
          <w:rFonts w:hint="eastAsia" w:eastAsia="方正楷体简体" w:cs="方正楷体简体"/>
          <w:kern w:val="0"/>
          <w:sz w:val="32"/>
          <w:szCs w:val="32"/>
        </w:rPr>
        <w:t>六</w:t>
      </w:r>
      <w:r>
        <w:rPr>
          <w:rFonts w:hint="eastAsia" w:eastAsia="方正楷体简体" w:cs="方正楷体简体"/>
          <w:kern w:val="0"/>
          <w:sz w:val="32"/>
          <w:szCs w:val="32"/>
          <w:lang w:val="zh-CN"/>
        </w:rPr>
        <w:t>）加强项目环境风险防范。</w:t>
      </w:r>
      <w:r>
        <w:rPr>
          <w:rFonts w:hint="eastAsia" w:eastAsia="方正仿宋简体" w:cs="方正仿宋简体"/>
          <w:sz w:val="32"/>
          <w:szCs w:val="32"/>
        </w:rPr>
        <w:t>建立严格的环境风险管理制度，认真落实《报告</w:t>
      </w:r>
      <w:r>
        <w:rPr>
          <w:rFonts w:hint="eastAsia" w:eastAsia="方正仿宋简体" w:cs="方正仿宋简体"/>
          <w:sz w:val="32"/>
          <w:szCs w:val="32"/>
          <w:lang w:val="en-US" w:eastAsia="zh-CN"/>
        </w:rPr>
        <w:t>表</w:t>
      </w:r>
      <w:r>
        <w:rPr>
          <w:rFonts w:hint="eastAsia" w:eastAsia="方正仿宋简体" w:cs="方正仿宋简体"/>
          <w:sz w:val="32"/>
          <w:szCs w:val="32"/>
        </w:rPr>
        <w:t>》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7C4B91C6">
      <w:pPr>
        <w:wordWrap w:val="0"/>
        <w:spacing w:line="540" w:lineRule="exact"/>
        <w:ind w:firstLine="640" w:firstLineChars="200"/>
        <w:rPr>
          <w:rFonts w:eastAsia="方正仿宋简体" w:cs="方正仿宋简体"/>
          <w:kern w:val="0"/>
          <w:sz w:val="32"/>
          <w:szCs w:val="32"/>
        </w:rPr>
      </w:pPr>
      <w:r>
        <w:rPr>
          <w:rFonts w:hint="eastAsia" w:eastAsia="方正黑体简体" w:cs="方正黑体简体"/>
          <w:sz w:val="32"/>
          <w:szCs w:val="32"/>
          <w:lang w:val="zh-CN"/>
        </w:rPr>
        <w:t>四</w:t>
      </w:r>
      <w:r>
        <w:rPr>
          <w:rFonts w:hint="eastAsia" w:eastAsia="方正仿宋简体" w:cs="方正仿宋简体"/>
          <w:kern w:val="0"/>
          <w:sz w:val="32"/>
          <w:szCs w:val="32"/>
          <w:lang w:val="zh-CN"/>
        </w:rPr>
        <w:t>、</w:t>
      </w:r>
      <w:r>
        <w:rPr>
          <w:rFonts w:eastAsia="方正仿宋简体"/>
          <w:color w:val="000000"/>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r>
        <w:rPr>
          <w:rFonts w:hint="eastAsia" w:eastAsia="方正仿宋简体"/>
          <w:color w:val="000000"/>
          <w:kern w:val="0"/>
          <w:sz w:val="32"/>
          <w:szCs w:val="32"/>
        </w:rPr>
        <w:t>并</w:t>
      </w:r>
      <w:r>
        <w:rPr>
          <w:rFonts w:eastAsia="方正仿宋简体"/>
          <w:color w:val="000000"/>
          <w:kern w:val="0"/>
          <w:sz w:val="32"/>
          <w:szCs w:val="32"/>
        </w:rPr>
        <w:t>公</w:t>
      </w:r>
      <w:r>
        <w:rPr>
          <w:rFonts w:hint="eastAsia" w:eastAsia="方正仿宋简体"/>
          <w:color w:val="000000"/>
          <w:kern w:val="0"/>
          <w:sz w:val="32"/>
          <w:szCs w:val="32"/>
        </w:rPr>
        <w:t>示。</w:t>
      </w:r>
    </w:p>
    <w:p w14:paraId="05E9950E">
      <w:pPr>
        <w:adjustRightInd w:val="0"/>
        <w:snapToGrid w:val="0"/>
        <w:spacing w:line="540" w:lineRule="exact"/>
        <w:ind w:firstLine="640" w:firstLineChars="200"/>
        <w:outlineLvl w:val="0"/>
        <w:rPr>
          <w:rFonts w:eastAsia="方正仿宋简体" w:cs="方正仿宋简体"/>
          <w:kern w:val="0"/>
          <w:sz w:val="32"/>
          <w:szCs w:val="32"/>
        </w:rPr>
      </w:pPr>
      <w:r>
        <w:rPr>
          <w:rFonts w:hint="eastAsia" w:eastAsia="方正黑体简体" w:cs="方正黑体简体"/>
          <w:sz w:val="32"/>
          <w:szCs w:val="32"/>
          <w:lang w:val="zh-CN"/>
        </w:rPr>
        <w:t>五</w:t>
      </w:r>
      <w:r>
        <w:rPr>
          <w:rFonts w:hint="eastAsia" w:eastAsia="方正仿宋简体" w:cs="方正仿宋简体"/>
          <w:kern w:val="0"/>
          <w:sz w:val="32"/>
          <w:szCs w:val="32"/>
          <w:lang w:val="zh-CN"/>
        </w:rPr>
        <w:t>、</w:t>
      </w:r>
      <w:r>
        <w:rPr>
          <w:rFonts w:hint="eastAsia" w:eastAsia="方正仿宋简体" w:cs="方正仿宋简体"/>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04FC3F02">
      <w:pPr>
        <w:adjustRightInd w:val="0"/>
        <w:snapToGrid w:val="0"/>
        <w:spacing w:line="540" w:lineRule="exact"/>
        <w:ind w:firstLine="640" w:firstLineChars="200"/>
        <w:outlineLvl w:val="0"/>
        <w:rPr>
          <w:rFonts w:eastAsia="方正仿宋简体" w:cs="方正仿宋简体"/>
          <w:kern w:val="0"/>
          <w:sz w:val="32"/>
          <w:szCs w:val="32"/>
        </w:rPr>
      </w:pPr>
      <w:r>
        <w:rPr>
          <w:rFonts w:hint="eastAsia" w:eastAsia="方正黑体简体" w:cs="方正黑体简体"/>
          <w:sz w:val="32"/>
          <w:szCs w:val="32"/>
          <w:lang w:val="zh-CN"/>
        </w:rPr>
        <w:t>六</w:t>
      </w:r>
      <w:r>
        <w:rPr>
          <w:rFonts w:hint="eastAsia" w:eastAsia="方正仿宋简体" w:cs="方正仿宋简体"/>
          <w:kern w:val="0"/>
          <w:sz w:val="32"/>
          <w:szCs w:val="32"/>
          <w:lang w:val="zh-CN"/>
        </w:rPr>
        <w:t>、</w:t>
      </w:r>
      <w:r>
        <w:rPr>
          <w:rFonts w:hint="eastAsia" w:eastAsia="方正仿宋简体" w:cs="方正仿宋简体"/>
          <w:kern w:val="0"/>
          <w:sz w:val="32"/>
          <w:szCs w:val="32"/>
        </w:rPr>
        <w:t>在启动生产设施或者在实际排污之前，按照经批准的环境影响评价文件认真梳理并确认各项环境保护措施落实后，依法申领或变更排污许可，按照排污许可要求做好自行监测。</w:t>
      </w:r>
    </w:p>
    <w:p w14:paraId="03D956F8">
      <w:pPr>
        <w:pStyle w:val="7"/>
        <w:wordWrap w:val="0"/>
        <w:spacing w:after="0" w:line="540" w:lineRule="exact"/>
        <w:ind w:left="0" w:leftChars="0" w:firstLine="640"/>
        <w:rPr>
          <w:sz w:val="32"/>
          <w:szCs w:val="32"/>
        </w:rPr>
      </w:pPr>
      <w:r>
        <w:rPr>
          <w:rFonts w:hint="eastAsia" w:eastAsia="方正黑体简体" w:cs="方正黑体简体"/>
          <w:sz w:val="32"/>
          <w:szCs w:val="32"/>
          <w:lang w:val="zh-CN"/>
        </w:rPr>
        <w:t>七</w:t>
      </w:r>
      <w:r>
        <w:rPr>
          <w:rFonts w:hint="eastAsia" w:eastAsia="方正仿宋简体" w:cs="方正仿宋简体"/>
          <w:kern w:val="0"/>
          <w:sz w:val="32"/>
          <w:szCs w:val="32"/>
          <w:lang w:val="zh-CN"/>
        </w:rPr>
        <w:t>、阿拉尔经济技术开发区按照《经济技术开发区管理条例》，做好该项目环境保护管理工作，师市生态环境保护综合行政执法支队做好该项目的抽查</w:t>
      </w:r>
      <w:r>
        <w:rPr>
          <w:rFonts w:hint="eastAsia" w:eastAsia="方正仿宋简体" w:cs="方正仿宋简体"/>
          <w:kern w:val="0"/>
          <w:sz w:val="32"/>
          <w:szCs w:val="32"/>
        </w:rPr>
        <w:t>及</w:t>
      </w:r>
      <w:r>
        <w:rPr>
          <w:rFonts w:hint="eastAsia" w:eastAsia="方正仿宋简体" w:cs="方正仿宋简体"/>
          <w:kern w:val="0"/>
          <w:sz w:val="32"/>
          <w:szCs w:val="32"/>
          <w:lang w:val="zh-CN"/>
        </w:rPr>
        <w:t>日常监督管理工作</w:t>
      </w:r>
      <w:r>
        <w:rPr>
          <w:rFonts w:hint="eastAsia" w:eastAsia="方正仿宋简体" w:cs="方正仿宋简体"/>
          <w:kern w:val="0"/>
          <w:sz w:val="32"/>
          <w:szCs w:val="32"/>
        </w:rPr>
        <w:t>。</w:t>
      </w:r>
    </w:p>
    <w:p w14:paraId="68830370">
      <w:pPr>
        <w:widowControl/>
        <w:wordWrap w:val="0"/>
        <w:spacing w:line="540" w:lineRule="exact"/>
        <w:ind w:firstLine="640" w:firstLineChars="200"/>
        <w:rPr>
          <w:rFonts w:eastAsia="方正仿宋简体" w:cs="方正仿宋简体"/>
          <w:kern w:val="0"/>
          <w:sz w:val="32"/>
          <w:szCs w:val="32"/>
        </w:rPr>
      </w:pPr>
      <w:r>
        <w:rPr>
          <w:rFonts w:hint="eastAsia" w:eastAsia="方正仿宋简体" w:cs="方正仿宋简体"/>
          <w:kern w:val="0"/>
          <w:sz w:val="32"/>
          <w:szCs w:val="32"/>
        </w:rPr>
        <w:t>如你单位对本审批决定有不同意见，可在接到本决定书之日起六十日内向阿拉尔市人民政府申请行政复议，也可在六个月内依法向阿拉尔垦区人民法院起诉。</w:t>
      </w:r>
    </w:p>
    <w:p w14:paraId="19116AED">
      <w:pPr>
        <w:widowControl/>
        <w:wordWrap w:val="0"/>
        <w:spacing w:line="540" w:lineRule="exact"/>
        <w:ind w:firstLine="600" w:firstLineChars="200"/>
        <w:rPr>
          <w:rFonts w:eastAsia="方正仿宋简体" w:cs="方正仿宋简体"/>
          <w:kern w:val="0"/>
          <w:sz w:val="30"/>
          <w:szCs w:val="30"/>
        </w:rPr>
      </w:pPr>
    </w:p>
    <w:p w14:paraId="28C97F81">
      <w:pPr>
        <w:widowControl/>
        <w:wordWrap w:val="0"/>
        <w:spacing w:line="540" w:lineRule="exact"/>
        <w:ind w:firstLine="600" w:firstLineChars="200"/>
        <w:rPr>
          <w:rFonts w:eastAsia="方正仿宋简体" w:cs="方正仿宋简体"/>
          <w:kern w:val="0"/>
          <w:sz w:val="30"/>
          <w:szCs w:val="30"/>
        </w:rPr>
      </w:pPr>
    </w:p>
    <w:p w14:paraId="466829A0">
      <w:pPr>
        <w:widowControl/>
        <w:wordWrap w:val="0"/>
        <w:spacing w:line="540" w:lineRule="exact"/>
        <w:ind w:firstLine="2240" w:firstLineChars="700"/>
        <w:jc w:val="right"/>
        <w:rPr>
          <w:rFonts w:eastAsia="方正仿宋简体" w:cs="方正仿宋简体"/>
          <w:kern w:val="0"/>
          <w:sz w:val="32"/>
          <w:szCs w:val="32"/>
        </w:rPr>
      </w:pPr>
      <w:r>
        <w:rPr>
          <w:rFonts w:hint="eastAsia" w:eastAsia="方正仿宋简体" w:cs="方正仿宋简体"/>
          <w:kern w:val="0"/>
          <w:sz w:val="32"/>
          <w:szCs w:val="32"/>
        </w:rPr>
        <w:t>第一师阿拉尔市生态环境局</w:t>
      </w:r>
    </w:p>
    <w:p w14:paraId="5D9E04D3">
      <w:pPr>
        <w:widowControl/>
        <w:wordWrap w:val="0"/>
        <w:spacing w:line="540" w:lineRule="exact"/>
        <w:ind w:firstLine="5440" w:firstLineChars="1700"/>
        <w:rPr>
          <w:rFonts w:eastAsia="方正仿宋简体" w:cs="方正仿宋简体"/>
          <w:kern w:val="0"/>
          <w:sz w:val="32"/>
          <w:szCs w:val="32"/>
        </w:rPr>
      </w:pPr>
      <w:r>
        <w:rPr>
          <w:rFonts w:hint="eastAsia" w:eastAsia="方正仿宋简体" w:cs="方正仿宋简体"/>
          <w:kern w:val="0"/>
          <w:sz w:val="32"/>
          <w:szCs w:val="32"/>
        </w:rPr>
        <w:t>2026年7月</w:t>
      </w:r>
      <w:r>
        <w:rPr>
          <w:rFonts w:hint="eastAsia" w:eastAsia="方正仿宋简体" w:cs="方正仿宋简体"/>
          <w:kern w:val="0"/>
          <w:sz w:val="32"/>
          <w:szCs w:val="32"/>
          <w:lang w:val="en-US" w:eastAsia="zh-CN"/>
        </w:rPr>
        <w:t>24</w:t>
      </w:r>
      <w:r>
        <w:rPr>
          <w:rFonts w:hint="eastAsia" w:eastAsia="方正仿宋简体" w:cs="方正仿宋简体"/>
          <w:kern w:val="0"/>
          <w:sz w:val="32"/>
          <w:szCs w:val="32"/>
        </w:rPr>
        <w:t>日</w:t>
      </w:r>
    </w:p>
    <w:p w14:paraId="399F6334">
      <w:pPr>
        <w:widowControl/>
        <w:wordWrap w:val="0"/>
        <w:spacing w:line="540" w:lineRule="exact"/>
        <w:ind w:firstLine="5760" w:firstLineChars="1800"/>
        <w:rPr>
          <w:rFonts w:eastAsia="方正仿宋简体" w:cs="方正仿宋简体"/>
          <w:kern w:val="0"/>
          <w:sz w:val="32"/>
          <w:szCs w:val="32"/>
        </w:rPr>
      </w:pPr>
    </w:p>
    <w:p w14:paraId="2E512B89">
      <w:pPr>
        <w:widowControl/>
        <w:wordWrap w:val="0"/>
        <w:spacing w:line="540" w:lineRule="exact"/>
        <w:ind w:firstLine="5760" w:firstLineChars="1800"/>
        <w:rPr>
          <w:rFonts w:eastAsia="方正仿宋简体" w:cs="方正仿宋简体"/>
          <w:kern w:val="0"/>
          <w:sz w:val="32"/>
          <w:szCs w:val="32"/>
        </w:rPr>
      </w:pPr>
    </w:p>
    <w:p w14:paraId="65A4BB4F">
      <w:pPr>
        <w:widowControl/>
        <w:wordWrap w:val="0"/>
        <w:spacing w:line="540" w:lineRule="exact"/>
        <w:rPr>
          <w:rFonts w:eastAsia="方正仿宋简体" w:cs="方正仿宋简体"/>
          <w:kern w:val="0"/>
          <w:sz w:val="32"/>
          <w:szCs w:val="32"/>
        </w:rPr>
      </w:pPr>
    </w:p>
    <w:p w14:paraId="2CA3CB4B">
      <w:pPr>
        <w:widowControl/>
        <w:wordWrap w:val="0"/>
        <w:spacing w:line="540" w:lineRule="exact"/>
        <w:rPr>
          <w:rFonts w:eastAsia="方正仿宋简体" w:cs="方正仿宋简体"/>
          <w:kern w:val="0"/>
          <w:sz w:val="32"/>
          <w:szCs w:val="32"/>
        </w:rPr>
      </w:pPr>
    </w:p>
    <w:p w14:paraId="1DC7644D">
      <w:pPr>
        <w:widowControl/>
        <w:wordWrap w:val="0"/>
        <w:spacing w:line="540" w:lineRule="exact"/>
        <w:rPr>
          <w:rFonts w:eastAsia="方正仿宋简体" w:cs="方正仿宋简体"/>
          <w:kern w:val="0"/>
          <w:sz w:val="32"/>
          <w:szCs w:val="32"/>
        </w:rPr>
      </w:pPr>
    </w:p>
    <w:p w14:paraId="46941F84">
      <w:pPr>
        <w:widowControl/>
        <w:wordWrap w:val="0"/>
        <w:spacing w:line="540" w:lineRule="exact"/>
        <w:rPr>
          <w:rFonts w:eastAsia="方正仿宋简体" w:cs="方正仿宋简体"/>
          <w:kern w:val="0"/>
          <w:sz w:val="32"/>
          <w:szCs w:val="32"/>
        </w:rPr>
      </w:pPr>
    </w:p>
    <w:p w14:paraId="456D0A9D">
      <w:pPr>
        <w:widowControl/>
        <w:wordWrap w:val="0"/>
        <w:spacing w:line="540" w:lineRule="exact"/>
        <w:rPr>
          <w:rFonts w:eastAsia="方正仿宋简体" w:cs="方正仿宋简体"/>
          <w:kern w:val="0"/>
          <w:sz w:val="32"/>
          <w:szCs w:val="32"/>
        </w:rPr>
      </w:pPr>
    </w:p>
    <w:p w14:paraId="13DFC9DF">
      <w:pPr>
        <w:widowControl/>
        <w:wordWrap w:val="0"/>
        <w:spacing w:line="540" w:lineRule="exact"/>
        <w:rPr>
          <w:rFonts w:eastAsia="方正仿宋简体" w:cs="方正仿宋简体"/>
          <w:kern w:val="0"/>
          <w:sz w:val="32"/>
          <w:szCs w:val="32"/>
        </w:rPr>
      </w:pPr>
    </w:p>
    <w:p w14:paraId="118CFC1E">
      <w:pPr>
        <w:widowControl/>
        <w:wordWrap w:val="0"/>
        <w:spacing w:line="540" w:lineRule="exact"/>
        <w:rPr>
          <w:rFonts w:eastAsia="方正仿宋简体" w:cs="方正仿宋简体"/>
          <w:kern w:val="0"/>
          <w:sz w:val="32"/>
          <w:szCs w:val="32"/>
        </w:rPr>
      </w:pPr>
    </w:p>
    <w:p w14:paraId="5FE371EE">
      <w:pPr>
        <w:widowControl/>
        <w:wordWrap w:val="0"/>
        <w:spacing w:line="540" w:lineRule="exact"/>
        <w:rPr>
          <w:rFonts w:eastAsia="方正仿宋简体" w:cs="方正仿宋简体"/>
          <w:kern w:val="0"/>
          <w:sz w:val="32"/>
          <w:szCs w:val="32"/>
        </w:rPr>
      </w:pPr>
    </w:p>
    <w:p w14:paraId="4BB1B091">
      <w:pPr>
        <w:widowControl/>
        <w:wordWrap w:val="0"/>
        <w:spacing w:line="540" w:lineRule="exact"/>
        <w:rPr>
          <w:rFonts w:eastAsia="方正仿宋简体" w:cs="方正仿宋简体"/>
          <w:kern w:val="0"/>
          <w:sz w:val="32"/>
          <w:szCs w:val="32"/>
        </w:rPr>
      </w:pPr>
    </w:p>
    <w:p w14:paraId="61D75424">
      <w:pPr>
        <w:widowControl/>
        <w:wordWrap w:val="0"/>
        <w:spacing w:line="540" w:lineRule="exact"/>
        <w:rPr>
          <w:rFonts w:eastAsia="方正仿宋简体" w:cs="方正仿宋简体"/>
          <w:kern w:val="0"/>
          <w:sz w:val="32"/>
          <w:szCs w:val="32"/>
        </w:rPr>
      </w:pPr>
    </w:p>
    <w:p w14:paraId="2A48D4DA">
      <w:pPr>
        <w:widowControl/>
        <w:wordWrap w:val="0"/>
        <w:spacing w:line="540" w:lineRule="exact"/>
        <w:rPr>
          <w:rFonts w:eastAsia="方正仿宋简体" w:cs="方正仿宋简体"/>
          <w:kern w:val="0"/>
          <w:sz w:val="32"/>
          <w:szCs w:val="32"/>
        </w:rPr>
      </w:pPr>
    </w:p>
    <w:p w14:paraId="45DC7326">
      <w:pPr>
        <w:widowControl/>
        <w:wordWrap w:val="0"/>
        <w:spacing w:line="540" w:lineRule="exact"/>
        <w:rPr>
          <w:rFonts w:eastAsia="方正仿宋简体" w:cs="方正仿宋简体"/>
          <w:kern w:val="0"/>
          <w:sz w:val="32"/>
          <w:szCs w:val="32"/>
        </w:rPr>
      </w:pPr>
    </w:p>
    <w:p w14:paraId="6E4002B8">
      <w:pPr>
        <w:widowControl/>
        <w:wordWrap w:val="0"/>
        <w:spacing w:line="540" w:lineRule="exact"/>
        <w:rPr>
          <w:rFonts w:eastAsia="方正仿宋简体" w:cs="方正仿宋简体"/>
          <w:kern w:val="0"/>
          <w:sz w:val="32"/>
          <w:szCs w:val="32"/>
        </w:rPr>
      </w:pPr>
    </w:p>
    <w:p w14:paraId="286DDE65">
      <w:pPr>
        <w:widowControl/>
        <w:wordWrap w:val="0"/>
        <w:spacing w:line="540" w:lineRule="exact"/>
        <w:rPr>
          <w:rFonts w:eastAsia="方正仿宋简体" w:cs="方正仿宋简体"/>
          <w:kern w:val="0"/>
          <w:sz w:val="32"/>
          <w:szCs w:val="32"/>
        </w:rPr>
      </w:pPr>
    </w:p>
    <w:p w14:paraId="75DD56C4">
      <w:pPr>
        <w:widowControl/>
        <w:wordWrap w:val="0"/>
        <w:spacing w:line="540" w:lineRule="exact"/>
        <w:rPr>
          <w:rFonts w:eastAsia="方正仿宋简体" w:cs="方正仿宋简体"/>
          <w:kern w:val="0"/>
          <w:sz w:val="32"/>
          <w:szCs w:val="32"/>
        </w:rPr>
      </w:pPr>
    </w:p>
    <w:p w14:paraId="22FE0DB2">
      <w:pPr>
        <w:widowControl/>
        <w:wordWrap w:val="0"/>
        <w:spacing w:line="540" w:lineRule="exact"/>
        <w:rPr>
          <w:rFonts w:eastAsia="方正仿宋简体" w:cs="方正仿宋简体"/>
          <w:kern w:val="0"/>
          <w:sz w:val="32"/>
          <w:szCs w:val="32"/>
        </w:rPr>
      </w:pPr>
    </w:p>
    <w:p w14:paraId="0DA90447">
      <w:pPr>
        <w:widowControl/>
        <w:wordWrap w:val="0"/>
        <w:spacing w:line="540" w:lineRule="exact"/>
        <w:rPr>
          <w:rFonts w:eastAsia="方正仿宋简体" w:cs="方正仿宋简体"/>
          <w:kern w:val="0"/>
          <w:sz w:val="32"/>
          <w:szCs w:val="32"/>
        </w:rPr>
      </w:pPr>
    </w:p>
    <w:p w14:paraId="4C55B4BD">
      <w:pPr>
        <w:widowControl/>
        <w:wordWrap w:val="0"/>
        <w:spacing w:line="540" w:lineRule="exact"/>
        <w:rPr>
          <w:rFonts w:eastAsia="方正仿宋简体" w:cs="方正仿宋简体"/>
          <w:kern w:val="0"/>
          <w:sz w:val="32"/>
          <w:szCs w:val="32"/>
        </w:rPr>
      </w:pPr>
    </w:p>
    <w:p w14:paraId="4520E07D">
      <w:pPr>
        <w:widowControl/>
        <w:wordWrap w:val="0"/>
        <w:spacing w:line="540" w:lineRule="exact"/>
        <w:rPr>
          <w:rFonts w:eastAsia="方正仿宋简体" w:cs="方正仿宋简体"/>
          <w:kern w:val="0"/>
          <w:sz w:val="32"/>
          <w:szCs w:val="32"/>
        </w:rPr>
      </w:pPr>
    </w:p>
    <w:p w14:paraId="61FDFE4A">
      <w:pPr>
        <w:widowControl/>
        <w:wordWrap w:val="0"/>
        <w:spacing w:line="540" w:lineRule="exact"/>
        <w:rPr>
          <w:rFonts w:eastAsia="方正仿宋简体" w:cs="方正仿宋简体"/>
          <w:kern w:val="0"/>
          <w:sz w:val="32"/>
          <w:szCs w:val="32"/>
        </w:rPr>
      </w:pPr>
    </w:p>
    <w:p w14:paraId="79A73F99">
      <w:pPr>
        <w:widowControl/>
        <w:wordWrap w:val="0"/>
        <w:spacing w:line="540" w:lineRule="exact"/>
        <w:rPr>
          <w:rFonts w:eastAsia="方正仿宋简体" w:cs="方正仿宋简体"/>
          <w:kern w:val="0"/>
          <w:sz w:val="32"/>
          <w:szCs w:val="32"/>
        </w:rPr>
      </w:pPr>
    </w:p>
    <w:p w14:paraId="1BB32BC3">
      <w:pPr>
        <w:widowControl/>
        <w:wordWrap w:val="0"/>
        <w:spacing w:line="540" w:lineRule="exact"/>
        <w:rPr>
          <w:rFonts w:eastAsia="方正仿宋简体" w:cs="方正仿宋简体"/>
          <w:kern w:val="0"/>
          <w:sz w:val="32"/>
          <w:szCs w:val="32"/>
        </w:rPr>
      </w:pPr>
    </w:p>
    <w:p w14:paraId="30D057E9">
      <w:pPr>
        <w:widowControl/>
        <w:wordWrap w:val="0"/>
        <w:spacing w:line="540" w:lineRule="exact"/>
        <w:rPr>
          <w:rFonts w:eastAsia="方正仿宋简体" w:cs="方正仿宋简体"/>
          <w:kern w:val="0"/>
          <w:sz w:val="32"/>
          <w:szCs w:val="32"/>
        </w:rPr>
      </w:pPr>
      <w:bookmarkStart w:id="0" w:name="_GoBack"/>
      <w:bookmarkEnd w:id="0"/>
    </w:p>
    <w:p w14:paraId="5313698F">
      <w:pPr>
        <w:widowControl/>
        <w:wordWrap w:val="0"/>
        <w:spacing w:line="540" w:lineRule="exact"/>
        <w:rPr>
          <w:rFonts w:eastAsia="方正仿宋简体" w:cs="方正仿宋简体"/>
          <w:kern w:val="0"/>
          <w:sz w:val="32"/>
          <w:szCs w:val="32"/>
        </w:rPr>
      </w:pPr>
    </w:p>
    <w:p w14:paraId="4D400058">
      <w:pPr>
        <w:widowControl/>
        <w:wordWrap w:val="0"/>
        <w:spacing w:line="540" w:lineRule="exact"/>
        <w:rPr>
          <w:rFonts w:eastAsia="方正仿宋简体" w:cs="方正仿宋简体"/>
          <w:kern w:val="0"/>
          <w:sz w:val="32"/>
          <w:szCs w:val="32"/>
        </w:rPr>
      </w:pPr>
    </w:p>
    <w:p w14:paraId="613AE881">
      <w:pPr>
        <w:wordWrap w:val="0"/>
        <w:topLinePunct/>
        <w:adjustRightInd w:val="0"/>
        <w:snapToGrid w:val="0"/>
        <w:spacing w:line="540" w:lineRule="exact"/>
        <w:ind w:left="840" w:hanging="840" w:hangingChars="300"/>
        <w:rPr>
          <w:rFonts w:eastAsia="方正仿宋简体" w:cs="方正仿宋简体"/>
          <w:sz w:val="28"/>
          <w:szCs w:val="28"/>
        </w:rPr>
      </w:pPr>
      <w:r>
        <w:rPr>
          <w:rFonts w:hint="eastAsia" w:eastAsia="方正仿宋简体" w:cs="方正仿宋简体"/>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eastAsia" w:eastAsia="方正仿宋简体" w:cs="方正仿宋简体"/>
          <w:sz w:val="28"/>
          <w:szCs w:val="28"/>
        </w:rPr>
        <w:t>抄送：阿拉尔经济技术开发区，生态环境保护综合行政执法支队，</w:t>
      </w:r>
      <w:r>
        <w:rPr>
          <w:rFonts w:hint="eastAsia" w:eastAsia="方正仿宋简体" w:cs="方正仿宋简体"/>
          <w:sz w:val="28"/>
          <w:szCs w:val="28"/>
          <w:lang w:val="zh-CN"/>
        </w:rPr>
        <w:t>成都新环众科检测技术有限公司</w:t>
      </w:r>
      <w:r>
        <w:rPr>
          <w:rFonts w:hint="eastAsia" w:eastAsia="方正仿宋简体" w:cs="方正仿宋简体"/>
          <w:sz w:val="28"/>
          <w:szCs w:val="28"/>
        </w:rPr>
        <w:t>。</w:t>
      </w:r>
    </w:p>
    <w:p w14:paraId="06B3557F">
      <w:pPr>
        <w:wordWrap w:val="0"/>
        <w:spacing w:line="540" w:lineRule="exact"/>
        <w:rPr>
          <w:rFonts w:eastAsia="方正仿宋简体" w:cs="方正仿宋简体"/>
          <w:sz w:val="32"/>
          <w:szCs w:val="32"/>
        </w:rPr>
      </w:pPr>
      <w:r>
        <w:rPr>
          <w:rFonts w:hint="eastAsia" w:eastAsia="方正仿宋简体" w:cs="方正仿宋简体"/>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eastAsia" w:eastAsia="方正仿宋简体" w:cs="方正仿宋简体"/>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eastAsia" w:eastAsia="方正仿宋简体" w:cs="方正仿宋简体"/>
          <w:sz w:val="28"/>
          <w:szCs w:val="28"/>
        </w:rPr>
        <w:t>第一师阿拉尔市生态环境局                2026年7月</w:t>
      </w:r>
      <w:r>
        <w:rPr>
          <w:rFonts w:hint="eastAsia" w:eastAsia="方正仿宋简体" w:cs="方正仿宋简体"/>
          <w:sz w:val="28"/>
          <w:szCs w:val="28"/>
          <w:lang w:val="en-US" w:eastAsia="zh-CN"/>
        </w:rPr>
        <w:t>31</w:t>
      </w:r>
      <w:r>
        <w:rPr>
          <w:rFonts w:hint="eastAsia" w:eastAsia="方正仿宋简体" w:cs="方正仿宋简体"/>
          <w:sz w:val="28"/>
          <w:szCs w:val="28"/>
        </w:rPr>
        <w:t>日印发</w:t>
      </w:r>
    </w:p>
    <w:sectPr>
      <w:footerReference r:id="rId3" w:type="default"/>
      <w:pgSz w:w="11906" w:h="16838"/>
      <w:pgMar w:top="2098" w:right="1474" w:bottom="1984"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05E508E-D014-49C6-B521-CA75AC8B00F4}"/>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embedRegular r:id="rId2" w:fontKey="{81636844-5EE2-4275-80A3-9C9327E6B0CB}"/>
  </w:font>
  <w:font w:name="方正小标宋简体">
    <w:panose1 w:val="02000000000000000000"/>
    <w:charset w:val="86"/>
    <w:family w:val="auto"/>
    <w:pitch w:val="default"/>
    <w:sig w:usb0="00000001" w:usb1="08000000" w:usb2="00000000" w:usb3="00000000" w:csb0="00040000" w:csb1="00000000"/>
    <w:embedRegular r:id="rId3" w:fontKey="{24DC1657-077F-4E49-A506-F9D69F16367B}"/>
  </w:font>
  <w:font w:name="方正黑体简体">
    <w:panose1 w:val="02000000000000000000"/>
    <w:charset w:val="86"/>
    <w:family w:val="auto"/>
    <w:pitch w:val="default"/>
    <w:sig w:usb0="A00002BF" w:usb1="184F6CFA" w:usb2="00000012" w:usb3="00000000" w:csb0="00040001" w:csb1="00000000"/>
    <w:embedRegular r:id="rId4" w:fontKey="{EDE94D28-B240-476C-8D9D-CA70ABB10D10}"/>
  </w:font>
  <w:font w:name="方正仿宋_GB2312">
    <w:panose1 w:val="02000000000000000000"/>
    <w:charset w:val="86"/>
    <w:family w:val="auto"/>
    <w:pitch w:val="default"/>
    <w:sig w:usb0="A00002BF" w:usb1="184F6CFA" w:usb2="00000012" w:usb3="00000000" w:csb0="00040001" w:csb1="00000000"/>
    <w:embedRegular r:id="rId5" w:fontKey="{40D5C53F-1509-4224-A90E-1B8566DBFD8A}"/>
  </w:font>
  <w:font w:name="方正楷体简体">
    <w:panose1 w:val="02000000000000000000"/>
    <w:charset w:val="86"/>
    <w:family w:val="auto"/>
    <w:pitch w:val="default"/>
    <w:sig w:usb0="A00002BF" w:usb1="184F6CFA" w:usb2="00000012" w:usb3="00000000" w:csb0="00040001" w:csb1="00000000"/>
    <w:embedRegular r:id="rId6" w:fontKey="{7E704416-62C2-431F-8820-CAA2D29D3CF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F685">
    <w:pPr>
      <w:pStyle w:val="8"/>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F7E13">
                          <w:pPr>
                            <w:pStyle w:val="8"/>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95F7E13">
                    <w:pPr>
                      <w:pStyle w:val="8"/>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A12"/>
    <w:rsid w:val="00020B6D"/>
    <w:rsid w:val="00091001"/>
    <w:rsid w:val="007B2A12"/>
    <w:rsid w:val="00EC7096"/>
    <w:rsid w:val="03CB622D"/>
    <w:rsid w:val="06F50C4A"/>
    <w:rsid w:val="0A9E5F43"/>
    <w:rsid w:val="0BB4605E"/>
    <w:rsid w:val="0CDB1EA2"/>
    <w:rsid w:val="0E265BD4"/>
    <w:rsid w:val="12B173C9"/>
    <w:rsid w:val="14716E68"/>
    <w:rsid w:val="14EF1875"/>
    <w:rsid w:val="16A3165F"/>
    <w:rsid w:val="175B7696"/>
    <w:rsid w:val="19632832"/>
    <w:rsid w:val="1A163C80"/>
    <w:rsid w:val="1A706A00"/>
    <w:rsid w:val="20971013"/>
    <w:rsid w:val="253E0FAA"/>
    <w:rsid w:val="26504930"/>
    <w:rsid w:val="26AB23FB"/>
    <w:rsid w:val="27395AE9"/>
    <w:rsid w:val="28BD1ED8"/>
    <w:rsid w:val="322D4C52"/>
    <w:rsid w:val="33126519"/>
    <w:rsid w:val="36F826F5"/>
    <w:rsid w:val="43326C4D"/>
    <w:rsid w:val="437D25BE"/>
    <w:rsid w:val="53582700"/>
    <w:rsid w:val="594913AC"/>
    <w:rsid w:val="59D625D1"/>
    <w:rsid w:val="5B5C2B39"/>
    <w:rsid w:val="64CD4A10"/>
    <w:rsid w:val="67A56640"/>
    <w:rsid w:val="690F6F65"/>
    <w:rsid w:val="69A2427D"/>
    <w:rsid w:val="6A9F256B"/>
    <w:rsid w:val="6AB73D58"/>
    <w:rsid w:val="6C264042"/>
    <w:rsid w:val="6F73538A"/>
    <w:rsid w:val="70807B4A"/>
    <w:rsid w:val="74407981"/>
    <w:rsid w:val="77D57F26"/>
    <w:rsid w:val="78094D94"/>
    <w:rsid w:val="7B5F1FCE"/>
    <w:rsid w:val="7D1A3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next w:val="3"/>
    <w:unhideWhenUsed/>
    <w:qFormat/>
    <w:uiPriority w:val="99"/>
    <w:pPr>
      <w:ind w:firstLine="1044"/>
    </w:pPr>
    <w:rPr>
      <w:rFonts w:eastAsia="仿宋_GB2312"/>
      <w:kern w:val="0"/>
    </w:rPr>
  </w:style>
  <w:style w:type="paragraph" w:customStyle="1" w:styleId="3">
    <w:name w:val="Default"/>
    <w:basedOn w:val="4"/>
    <w:next w:val="1"/>
    <w:qFormat/>
    <w:uiPriority w:val="0"/>
    <w:pPr>
      <w:tabs>
        <w:tab w:val="left" w:pos="2760"/>
      </w:tabs>
      <w:autoSpaceDE w:val="0"/>
      <w:autoSpaceDN w:val="0"/>
    </w:pPr>
    <w:rPr>
      <w:rFonts w:ascii="Times New Roman" w:hAnsi="Times New Roman"/>
      <w:color w:val="000000"/>
      <w:sz w:val="24"/>
    </w:rPr>
  </w:style>
  <w:style w:type="paragraph" w:customStyle="1" w:styleId="4">
    <w:name w:val="纯文本1"/>
    <w:basedOn w:val="1"/>
    <w:qFormat/>
    <w:uiPriority w:val="0"/>
    <w:pPr>
      <w:tabs>
        <w:tab w:val="left" w:pos="2760"/>
      </w:tabs>
      <w:adjustRightInd w:val="0"/>
    </w:pPr>
    <w:rPr>
      <w:rFonts w:ascii="宋体" w:hAnsi="Courier New"/>
    </w:rPr>
  </w:style>
  <w:style w:type="paragraph" w:styleId="5">
    <w:name w:val="Normal Indent"/>
    <w:basedOn w:val="1"/>
    <w:next w:val="1"/>
    <w:qFormat/>
    <w:uiPriority w:val="0"/>
    <w:pPr>
      <w:spacing w:line="520" w:lineRule="exact"/>
      <w:ind w:firstLine="624"/>
    </w:pPr>
    <w:rPr>
      <w:sz w:val="28"/>
      <w:szCs w:val="20"/>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28"/>
      <w:szCs w:val="18"/>
    </w:rPr>
  </w:style>
  <w:style w:type="paragraph" w:styleId="9">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1"/>
  </w:style>
  <w:style w:type="paragraph" w:styleId="11">
    <w:name w:val="Body Text 2"/>
    <w:basedOn w:val="1"/>
    <w:qFormat/>
    <w:uiPriority w:val="99"/>
    <w:rPr>
      <w:sz w:val="28"/>
      <w:szCs w:val="20"/>
    </w:rPr>
  </w:style>
  <w:style w:type="paragraph" w:customStyle="1" w:styleId="14">
    <w:name w:val="环评 正文"/>
    <w:basedOn w:val="11"/>
    <w:qFormat/>
    <w:uiPriority w:val="0"/>
    <w:pPr>
      <w:spacing w:line="360" w:lineRule="auto"/>
      <w:ind w:firstLine="200" w:firstLineChars="200"/>
    </w:pPr>
    <w:rPr>
      <w:rFonts w:ascii="宋体" w:hAnsi="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73e7a117-1bc1-4462-9b49-9a103f53b8d4</errorID>
      <errorWord> </errorWord>
      <group>L1_Word</group>
      <groupName>字词问题</groupName>
      <ability>L2_Typo</ability>
      <abilityName>字词错误</abilityName>
      <candidateList>
        <item>°</item>
      </candidateList>
      <explain/>
      <paraID>412A7C93</paraID>
      <start>113</start>
      <end>114</end>
      <status>modified</status>
      <modifiedWord> </modifiedWord>
      <trackRevisions>false</trackRevisions>
    </reviewItem>
    <reviewItem>
      <errorID>824b3927-6e6f-4998-bfcb-ded842882d1b</errorID>
      <errorWord> </errorWord>
      <group>L1_Word</group>
      <groupName>字词问题</groupName>
      <ability>L2_Typo</ability>
      <abilityName>字词错误</abilityName>
      <candidateList>
        <item>°</item>
      </candidateList>
      <explain/>
      <paraID>412A7C93</paraID>
      <start>129</start>
      <end>130</end>
      <status>modified</status>
      <modifiedWord> </modifiedWord>
      <trackRevisions>false</trackRevisions>
    </reviewItem>
    <reviewItem>
      <errorID>e634cf7c-c68e-486b-9ed1-75da708159dd</errorID>
      <errorWord>(</errorWord>
      <group>L1_Format</group>
      <groupName>格式问题</groupName>
      <ability>L2_HalfPunc_CN</ability>
      <abilityName>全半角问题</abilityName>
      <candidateList>
        <item>（</item>
      </candidateList>
      <explain>文本全半角错误。</explain>
      <paraID>20766CD2</paraID>
      <start>100</start>
      <end>101</end>
      <status>modified</status>
      <modifiedWord>（</modifiedWord>
      <trackRevisions>false</trackRevisions>
    </reviewItem>
    <reviewItem>
      <errorID>d6bca700-3b8d-4c6e-ac9c-ee775975f78b</errorID>
      <errorWord>)</errorWord>
      <group>L1_Format</group>
      <groupName>格式问题</groupName>
      <ability>L2_HalfPunc_CN</ability>
      <abilityName>全半角问题</abilityName>
      <candidateList>
        <item>）</item>
      </candidateList>
      <explain>文本全半角错误。</explain>
      <paraID>20766CD2</paraID>
      <start>114</start>
      <end>115</end>
      <status>modified</status>
      <modifiedWord>）</modifiedWord>
      <trackRevisions>false</trackRevisions>
    </reviewItem>
    <reviewItem>
      <errorID>d94a5bc2-e378-4771-80c7-afc0d7fd6639</errorID>
      <errorWord>排放须</errorWord>
      <group>L1_Word</group>
      <groupName>字词问题</groupName>
      <ability>L2_Typo</ability>
      <abilityName>字词错误</abilityName>
      <candidateList>
        <item>排放</item>
      </candidateList>
      <explain/>
      <paraID>33B6105D</paraID>
      <start>88</start>
      <end>91</end>
      <status>ignored</status>
      <modifiedWord/>
      <trackRevisions>false</trackRevisions>
    </reviewItem>
    <reviewItem>
      <errorID>91aac3bc-2587-4e94-8693-30a73bcce7d5</errorID>
      <errorWord>GB12348</errorWord>
      <group>L1_Word</group>
      <groupName>字词问题</groupName>
      <ability>L2_Typo</ability>
      <abilityName>字词错误</abilityName>
      <candidateList>
        <item>GB 12348</item>
      </candidateList>
      <explain/>
      <paraID>33B6105D</paraID>
      <start>110</start>
      <end>118</end>
      <status>modified</status>
      <modifiedWord>GB 12348</modifiedWord>
      <trackRevisions>false</trackRevisions>
    </reviewItem>
    <reviewItem>
      <errorID>9ceb3ebc-f12a-407f-86ae-5b163aaacdb0</errorID>
      <errorWord>HJ610</errorWord>
      <group>L1_Word</group>
      <groupName>字词问题</groupName>
      <ability>L2_Typo</ability>
      <abilityName>字词错误</abilityName>
      <candidateList>
        <item>HJ 610</item>
      </candidateList>
      <explain/>
      <paraID>45C56276</paraID>
      <start>41</start>
      <end>47</end>
      <status>modified</status>
      <modifiedWord>HJ 610</modifiedWord>
      <trackRevisions>false</trackRevisions>
    </reviewItem>
    <reviewItem>
      <errorID>5b2f092a-0bd3-47dd-a341-e34d876f3ebf</errorID>
      <errorWord>GB18597-2023</errorWord>
      <group>L1_Other</group>
      <groupName>其他问题</groupName>
      <ability>L2_Consistency</ability>
      <abilityName>一致性检查</abilityName>
      <candidateList>
        <item>GB 18597-2023</item>
      </candidateList>
      <explain>术语一致性错误，全文其他国家标准编号均在GB后添加空格分隔编号，此处格式不统一</explain>
      <paraID>45C56276</paraID>
      <start>111</start>
      <end>124</end>
      <status>modified</status>
      <modifiedWord>GB 18597-2023</modifiedWord>
      <trackRevisions>false</trackRevisions>
    </reviewItem>
    <reviewItem>
      <errorID>5c6e64de-8184-4b51-b7ae-6359d4196f96</errorID>
      <errorWord>合同招标文件</errorWord>
      <group>L1_Grammar</group>
      <groupName>语法问题</groupName>
      <ability>L2_Grammar</ability>
      <abilityName>语法错误</abilityName>
      <candidateList>
        <item>合同</item>
      </candidateList>
      <explain/>
      <paraID>7C4B91C6</paraID>
      <start>64</start>
      <end>70</end>
      <status>ignored</status>
      <modifiedWord/>
      <trackRevisions>false</trackRevisions>
    </reviewItem>
    <reviewItem>
      <errorID>0bb0fbc6-ea04-4001-b6e3-26768cdd541a</errorID>
      <errorWord>经济技术开发区管理条例</errorWord>
      <group>L1_Knowledge</group>
      <groupName>知识性问题</groupName>
      <ability>L2_Knowledge</ability>
      <abilityName>其他知识</abilityName>
      <candidateList>
        <item>长春经济技术开发区管理条例</item>
      </candidateList>
      <explain>当前法律法规未收录或尚未生效，注意核查是否正确。</explain>
      <paraID> 3D956F8</paraID>
      <start>15</start>
      <end>26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fd533c-8bbb-4ae1-9b4b-352800e0209b}">
  <ds:schemaRefs/>
</ds:datastoreItem>
</file>

<file path=docProps/app.xml><?xml version="1.0" encoding="utf-8"?>
<Properties xmlns="http://schemas.openxmlformats.org/officeDocument/2006/extended-properties" xmlns:vt="http://schemas.openxmlformats.org/officeDocument/2006/docPropsVTypes">
  <Template>Normal</Template>
  <Pages>6</Pages>
  <Words>2411</Words>
  <Characters>2585</Characters>
  <Lines>19</Lines>
  <Paragraphs>5</Paragraphs>
  <TotalTime>59</TotalTime>
  <ScaleCrop>false</ScaleCrop>
  <LinksUpToDate>false</LinksUpToDate>
  <CharactersWithSpaces>2612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2025-08-06T02:29:00Z</dcterms:created>
  <dc:creator>hp</dc:creator>
  <cp:lastModifiedBy></cp:lastModifiedBy>
  <cp:lastPrinted>2026-07-31T04:56:00Z</cp:lastPrinted>
  <dcterms:modified xsi:type="dcterms:W3CDTF">2026-07-31T10:15:35Z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eyJoZGlkIjoiNzkyN2Q3NTJkYzdmNjE3ZGJjOWNiYzc5NjVkOTk4NGIiLCJ1c2VySWQiOiI2NDkyMTQ2MzcifQ==</vt:lpwstr>
  </property>
  <property fmtid="{D5CDD505-2E9C-101B-9397-08002B2CF9AE}" pid="4" name="ICV">
    <vt:lpwstr>CB0F1C45728841F5A328B7AEF5EB4697_12</vt:lpwstr>
  </property>
</Properties>
</file>