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FA22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1DA719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11C4D1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44354C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44"/>
          <w:szCs w:val="44"/>
        </w:rPr>
      </w:pPr>
    </w:p>
    <w:p w14:paraId="726BD7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72"/>
          <w:szCs w:val="72"/>
        </w:rPr>
      </w:pPr>
    </w:p>
    <w:p w14:paraId="279C0EB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522E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8662A9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6C68A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师市环审〔2026〕</w:t>
      </w:r>
      <w:r>
        <w:rPr>
          <w:rFonts w:hint="eastAsia" w:eastAsia="方正仿宋_GB2312" w:cs="Times New Roman"/>
          <w:sz w:val="32"/>
          <w:szCs w:val="32"/>
          <w:lang w:val="en-US" w:eastAsia="zh-CN"/>
        </w:rPr>
        <w:t>48</w:t>
      </w:r>
      <w:r>
        <w:rPr>
          <w:rFonts w:hint="default" w:ascii="Times New Roman" w:hAnsi="Times New Roman" w:eastAsia="方正仿宋_GB2312" w:cs="Times New Roman"/>
          <w:sz w:val="32"/>
          <w:szCs w:val="32"/>
        </w:rPr>
        <w:t>号</w:t>
      </w:r>
    </w:p>
    <w:p w14:paraId="62D8C9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Cs w:val="21"/>
        </w:rPr>
      </w:pPr>
    </w:p>
    <w:p w14:paraId="44C146C4">
      <w:pPr>
        <w:widowControl/>
        <w:spacing w:line="520" w:lineRule="exact"/>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关于</w:t>
      </w:r>
      <w:r>
        <w:rPr>
          <w:rFonts w:hint="default" w:ascii="Times New Roman" w:hAnsi="Times New Roman" w:eastAsia="方正小标宋简体" w:cs="Times New Roman"/>
          <w:bCs/>
          <w:sz w:val="44"/>
          <w:szCs w:val="44"/>
        </w:rPr>
        <w:t>阿拉尔市言溪塑业有限公司塑料制品项目环境影响报告书</w:t>
      </w:r>
      <w:r>
        <w:rPr>
          <w:rFonts w:hint="default" w:ascii="Times New Roman" w:hAnsi="Times New Roman" w:eastAsia="方正小标宋_GBK" w:cs="Times New Roman"/>
          <w:bCs/>
          <w:sz w:val="44"/>
          <w:szCs w:val="44"/>
        </w:rPr>
        <w:t>的批复</w:t>
      </w:r>
    </w:p>
    <w:p w14:paraId="6241EFE3">
      <w:pPr>
        <w:keepNext w:val="0"/>
        <w:keepLines w:val="0"/>
        <w:pageBreakBefore w:val="0"/>
        <w:widowControl/>
        <w:kinsoku/>
        <w:wordWrap/>
        <w:autoSpaceDE/>
        <w:autoSpaceDN/>
        <w:bidi w:val="0"/>
        <w:spacing w:line="540" w:lineRule="exact"/>
        <w:textAlignment w:val="auto"/>
        <w:rPr>
          <w:rFonts w:hint="default" w:ascii="Times New Roman" w:hAnsi="Times New Roman" w:eastAsia="方正小标宋简体" w:cs="Times New Roman"/>
          <w:bCs/>
          <w:color w:val="0000FF"/>
          <w:sz w:val="44"/>
          <w:szCs w:val="44"/>
        </w:rPr>
      </w:pPr>
    </w:p>
    <w:p w14:paraId="394A230D">
      <w:pPr>
        <w:keepNext w:val="0"/>
        <w:keepLines w:val="0"/>
        <w:pageBreakBefore w:val="0"/>
        <w:widowControl/>
        <w:kinsoku/>
        <w:wordWrap/>
        <w:autoSpaceDE/>
        <w:autoSpaceDN/>
        <w:bidi w:val="0"/>
        <w:spacing w:line="540" w:lineRule="exact"/>
        <w:ind w:left="640" w:hanging="640" w:hangingChars="200"/>
        <w:textAlignment w:val="auto"/>
        <w:rPr>
          <w:rFonts w:hint="eastAsia"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阿拉尔市言溪塑业有限公司：</w:t>
      </w:r>
    </w:p>
    <w:p w14:paraId="30648385">
      <w:pPr>
        <w:keepNext w:val="0"/>
        <w:keepLines w:val="0"/>
        <w:pageBreakBefore w:val="0"/>
        <w:widowControl/>
        <w:kinsoku/>
        <w:wordWrap/>
        <w:autoSpaceDE/>
        <w:autoSpaceDN/>
        <w:bidi w:val="0"/>
        <w:spacing w:line="540" w:lineRule="exact"/>
        <w:ind w:firstLine="640" w:firstLineChars="200"/>
        <w:textAlignment w:val="auto"/>
        <w:rPr>
          <w:rFonts w:hint="eastAsia" w:ascii="方正仿宋简体" w:hAnsi="方正仿宋简体" w:eastAsia="方正仿宋简体" w:cs="方正仿宋简体"/>
          <w:kern w:val="0"/>
          <w:sz w:val="32"/>
          <w:szCs w:val="32"/>
        </w:rPr>
      </w:pPr>
      <w:r>
        <w:rPr>
          <w:rFonts w:hint="eastAsia" w:ascii="方正仿宋简体" w:hAnsi="方正仿宋简体" w:eastAsia="方正仿宋简体" w:cs="方正仿宋简体"/>
          <w:sz w:val="32"/>
          <w:szCs w:val="32"/>
        </w:rPr>
        <w:t>你单位报送的《关于送审阿拉尔市言溪塑业有限公司塑料制品项目环境影响报告书</w:t>
      </w:r>
      <w:r>
        <w:rPr>
          <w:rFonts w:hint="eastAsia" w:ascii="方正仿宋简体" w:hAnsi="方正仿宋简体" w:eastAsia="方正仿宋简体" w:cs="方正仿宋简体"/>
          <w:kern w:val="0"/>
          <w:sz w:val="32"/>
          <w:szCs w:val="32"/>
        </w:rPr>
        <w:t>的请示</w:t>
      </w:r>
      <w:r>
        <w:rPr>
          <w:rFonts w:hint="eastAsia" w:ascii="方正仿宋简体" w:hAnsi="方正仿宋简体" w:eastAsia="方正仿宋简体" w:cs="方正仿宋简体"/>
          <w:sz w:val="32"/>
          <w:szCs w:val="32"/>
        </w:rPr>
        <w:t>》及《阿拉尔市言溪塑业有限公司塑料制品项目环境影响报告书》（以下简称《报告书》）已收悉。经研究，现批复如下：</w:t>
      </w:r>
    </w:p>
    <w:p w14:paraId="6AEF4DBE">
      <w:pPr>
        <w:keepNext w:val="0"/>
        <w:keepLines w:val="0"/>
        <w:pageBreakBefore w:val="0"/>
        <w:widowControl/>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kern w:val="0"/>
          <w:sz w:val="32"/>
          <w:szCs w:val="32"/>
        </w:rPr>
        <w:t>该项目位于十二团29连，用地性质为工业用地，占地面积为8014m</w:t>
      </w:r>
      <w:r>
        <w:rPr>
          <w:rFonts w:hint="default" w:ascii="Times New Roman" w:hAnsi="Times New Roman" w:eastAsia="方正仿宋简体" w:cs="Times New Roman"/>
          <w:kern w:val="0"/>
          <w:sz w:val="32"/>
          <w:szCs w:val="32"/>
          <w:vertAlign w:val="superscript"/>
        </w:rPr>
        <w:t>2</w:t>
      </w:r>
      <w:r>
        <w:rPr>
          <w:rFonts w:hint="default" w:ascii="Times New Roman" w:hAnsi="Times New Roman" w:eastAsia="方正仿宋简体" w:cs="Times New Roman"/>
          <w:kern w:val="0"/>
          <w:sz w:val="32"/>
          <w:szCs w:val="32"/>
        </w:rPr>
        <w:t>。项目区中心地理位置坐标为东经81</w:t>
      </w:r>
      <w:r>
        <w:rPr>
          <w:rFonts w:hint="eastAsia"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24′51.997″，北纬40</w:t>
      </w:r>
      <w:r>
        <w:rPr>
          <w:rFonts w:hint="eastAsia"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33′53.123″。该项目建设内容为一期建设1条再生颗粒生产线；二期建设滴灌带生产线5条，水带生产线1条；该项目建成后年回收废滴灌带5000吨，年产再生颗粒4989.67吨，滴灌带4000吨、水带500吨。项目总投资1200万元，其中环保投资113万元，占总投资的9.42%。</w:t>
      </w:r>
    </w:p>
    <w:p w14:paraId="702ACF14">
      <w:pPr>
        <w:keepNext w:val="0"/>
        <w:keepLines w:val="0"/>
        <w:pageBreakBefore w:val="0"/>
        <w:widowControl/>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kern w:val="0"/>
          <w:sz w:val="32"/>
          <w:szCs w:val="32"/>
        </w:rPr>
        <w:t>根据新疆泰驰环保科技有限公司编制的《报告书》评价结论及兵团环境工程评估中心出具的技术评估意见（兵环评估〔2026〕55号），该项目属于橡胶和塑料制品业项目，在符合产业政策、选址符合国土空间规划等相关规划的前提下，从环境保护的角度，我局原则同意《报告书》结论。</w:t>
      </w:r>
    </w:p>
    <w:p w14:paraId="5B5FA9D9">
      <w:pPr>
        <w:keepNext w:val="0"/>
        <w:keepLines w:val="0"/>
        <w:pageBreakBefore w:val="0"/>
        <w:widowControl/>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kern w:val="0"/>
          <w:sz w:val="32"/>
          <w:szCs w:val="32"/>
        </w:rPr>
        <w:t>你单位在项目建设和运营中，应严格执行有关环境质量标准和污染物排放标准，认真、全面落实报告书提出的各项环保对策措施和要求，确保污染物达标排放和各环境敏感点满足相应功能要求。重点做好以下工作：</w:t>
      </w:r>
    </w:p>
    <w:p w14:paraId="7E3538E2">
      <w:pPr>
        <w:keepNext w:val="0"/>
        <w:keepLines w:val="0"/>
        <w:pageBreakBefore w:val="0"/>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认真落实施工期生态环境保护和防沙治沙措施。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63A402F4">
      <w:pPr>
        <w:keepNext w:val="0"/>
        <w:keepLines w:val="0"/>
        <w:pageBreakBefore w:val="0"/>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kern w:val="0"/>
          <w:sz w:val="32"/>
          <w:szCs w:val="32"/>
        </w:rPr>
        <w:t>该项目运营期产生的废气主要为熔融造粒工序废气，滴灌带、水带生产线各工序废气。</w:t>
      </w:r>
    </w:p>
    <w:p w14:paraId="0E8B3960">
      <w:pPr>
        <w:pStyle w:val="15"/>
        <w:keepNext w:val="0"/>
        <w:keepLines w:val="0"/>
        <w:pageBreakBefore w:val="0"/>
        <w:kinsoku/>
        <w:wordWrap/>
        <w:autoSpaceDE/>
        <w:autoSpaceDN/>
        <w:bidi w:val="0"/>
        <w:spacing w:after="0" w:line="540" w:lineRule="exact"/>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熔融造粒工序产生的废气经“负压收集+布袋除尘器+活性炭吸附脱附+RCO蓄热式催化燃烧装置”处理后，通过1根15米高排气筒（DA001）排放。滴灌带、水带生产线各工序产生的废气经“负压收集+布袋除尘器+活性炭吸附脱附+RCO蓄热式催化燃烧装置”处理后，通过1根15米高排气筒（DA002）排放。废气中非甲烷总烃、颗粒物排放均须满足《合成树脂工业污染物排放标准》（GB31572-2015）（含2024年修改单）表4排放限值要求；臭气浓度排放</w:t>
      </w:r>
      <w:r>
        <w:rPr>
          <w:rFonts w:hint="eastAsia" w:eastAsia="方正仿宋简体" w:cs="Times New Roman"/>
          <w:kern w:val="0"/>
          <w:sz w:val="32"/>
          <w:szCs w:val="32"/>
          <w:lang w:val="en-US" w:eastAsia="zh-CN"/>
        </w:rPr>
        <w:t>须</w:t>
      </w:r>
      <w:r>
        <w:rPr>
          <w:rFonts w:hint="default" w:ascii="Times New Roman" w:hAnsi="Times New Roman" w:eastAsia="方正仿宋简体" w:cs="Times New Roman"/>
          <w:kern w:val="0"/>
          <w:sz w:val="32"/>
          <w:szCs w:val="32"/>
        </w:rPr>
        <w:t>满足《恶臭污染物排放标准》（GB14554-93）表2排放限值要求。</w:t>
      </w:r>
    </w:p>
    <w:p w14:paraId="6A68E1E1">
      <w:pPr>
        <w:pStyle w:val="15"/>
        <w:keepNext w:val="0"/>
        <w:keepLines w:val="0"/>
        <w:pageBreakBefore w:val="0"/>
        <w:kinsoku/>
        <w:wordWrap/>
        <w:autoSpaceDE/>
        <w:autoSpaceDN/>
        <w:bidi w:val="0"/>
        <w:spacing w:after="0"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通过采取各生产车间全封闭设计；废旧塑料堆放在</w:t>
      </w:r>
      <w:r>
        <w:rPr>
          <w:rFonts w:hint="default" w:ascii="Times New Roman" w:hAnsi="Times New Roman" w:eastAsia="方正仿宋简体" w:cs="Times New Roman"/>
          <w:color w:val="auto"/>
          <w:kern w:val="0"/>
          <w:sz w:val="32"/>
          <w:szCs w:val="32"/>
        </w:rPr>
        <w:t>半封闭</w:t>
      </w:r>
      <w:r>
        <w:rPr>
          <w:rFonts w:hint="default" w:ascii="Times New Roman" w:hAnsi="Times New Roman" w:eastAsia="方正仿宋简体" w:cs="Times New Roman"/>
          <w:kern w:val="0"/>
          <w:sz w:val="32"/>
          <w:szCs w:val="32"/>
        </w:rPr>
        <w:t>的原料堆场；破碎采用湿法破碎；厂区加强绿化等措施。确保厂内非甲烷总烃无组织排放须满足《挥发性有机物无组织排放控制标准》（GB37822-2019）中表A.1排放限值要求；厂界颗粒物及非甲烷总烃无组织排放满足《合成树脂工业污染物排放标准》含2024年修改单（GB31572-2015）表9排放限值要求，臭气浓度排放满足《恶臭污染物排放标准》（GB14554-93）恶臭污染物厂界二级排放限值要求。</w:t>
      </w:r>
    </w:p>
    <w:p w14:paraId="46E272CA">
      <w:pPr>
        <w:pStyle w:val="15"/>
        <w:keepNext w:val="0"/>
        <w:keepLines w:val="0"/>
        <w:pageBreakBefore w:val="0"/>
        <w:kinsoku/>
        <w:wordWrap/>
        <w:autoSpaceDE/>
        <w:autoSpaceDN/>
        <w:bidi w:val="0"/>
        <w:spacing w:after="0"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kern w:val="0"/>
          <w:sz w:val="32"/>
          <w:szCs w:val="32"/>
        </w:rPr>
        <w:t>该项目运营期产生的废水主要是清洗废水、冷却水和生活污水。清洗废水经</w:t>
      </w:r>
      <w:r>
        <w:rPr>
          <w:rFonts w:hint="eastAsia" w:eastAsia="方正仿宋简体" w:cs="Times New Roman"/>
          <w:kern w:val="0"/>
          <w:sz w:val="32"/>
          <w:szCs w:val="32"/>
          <w:lang w:val="en-US" w:eastAsia="zh-CN"/>
        </w:rPr>
        <w:t>三级</w:t>
      </w:r>
      <w:r>
        <w:rPr>
          <w:rFonts w:hint="default" w:ascii="Times New Roman" w:hAnsi="Times New Roman" w:eastAsia="方正仿宋简体" w:cs="Times New Roman"/>
          <w:kern w:val="0"/>
          <w:sz w:val="32"/>
          <w:szCs w:val="32"/>
        </w:rPr>
        <w:t>沉淀池沉淀后循环利用；冷却水经循环冷却系统处理后循环使用；生活污水经化粪池处理满足《污水综合排放标准》（GB8978-1996）表4中三级标准及</w:t>
      </w:r>
      <w:r>
        <w:rPr>
          <w:rFonts w:hint="eastAsia" w:eastAsia="方正仿宋简体" w:cs="Times New Roman"/>
          <w:color w:val="auto"/>
          <w:kern w:val="0"/>
          <w:sz w:val="32"/>
          <w:szCs w:val="32"/>
          <w:lang w:val="en-US" w:eastAsia="zh-CN"/>
        </w:rPr>
        <w:t>十二团生活</w:t>
      </w:r>
      <w:r>
        <w:rPr>
          <w:rFonts w:hint="default" w:ascii="Times New Roman" w:hAnsi="Times New Roman" w:eastAsia="方正仿宋简体" w:cs="Times New Roman"/>
          <w:color w:val="auto"/>
          <w:kern w:val="0"/>
          <w:sz w:val="32"/>
          <w:szCs w:val="32"/>
        </w:rPr>
        <w:t>污水处理厂纳管要求后，由吸污车定期拉运至阿拉尔市</w:t>
      </w:r>
      <w:r>
        <w:rPr>
          <w:rFonts w:hint="eastAsia" w:eastAsia="方正仿宋简体" w:cs="Times New Roman"/>
          <w:color w:val="auto"/>
          <w:kern w:val="0"/>
          <w:sz w:val="32"/>
          <w:szCs w:val="32"/>
          <w:lang w:val="en-US" w:eastAsia="zh-CN"/>
        </w:rPr>
        <w:t>十二团生活</w:t>
      </w:r>
      <w:r>
        <w:rPr>
          <w:rFonts w:hint="default" w:ascii="Times New Roman" w:hAnsi="Times New Roman" w:eastAsia="方正仿宋简体" w:cs="Times New Roman"/>
          <w:color w:val="auto"/>
          <w:kern w:val="0"/>
          <w:sz w:val="32"/>
          <w:szCs w:val="32"/>
        </w:rPr>
        <w:t>污水处理厂处理。</w:t>
      </w:r>
    </w:p>
    <w:p w14:paraId="21D7C00C">
      <w:pPr>
        <w:pStyle w:val="14"/>
        <w:keepNext w:val="0"/>
        <w:keepLines w:val="0"/>
        <w:pageBreakBefore w:val="0"/>
        <w:kinsoku/>
        <w:wordWrap/>
        <w:overflowPunct w:val="0"/>
        <w:topLinePunct/>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rPr>
        <w:t>该项目运营期产生的噪声主要为破碎机、造粒机、切粒机、水泵、风机、空压机等设备在运行时产生的噪声。通过选用低噪声机械，安装减振垫、用弹性连接代替设备与地面刚性连接、设置围护等措施，定期维护设备，厂区种植绿化隔离带等措施，确保厂界噪声排放满足《工业企业厂界环境噪声排放标准》（GB12348-2008）中2类标准要求。</w:t>
      </w:r>
    </w:p>
    <w:p w14:paraId="19BFF940">
      <w:pPr>
        <w:pStyle w:val="14"/>
        <w:keepNext w:val="0"/>
        <w:keepLines w:val="0"/>
        <w:pageBreakBefore w:val="0"/>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kern w:val="0"/>
          <w:sz w:val="32"/>
          <w:szCs w:val="32"/>
        </w:rPr>
        <w:t>该项目运营期固体废物主要为废催化剂、废活性炭、废润滑油、废润滑油包装桶等危险废物；堆场分拣杂质、沉淀池底泥、布袋除尘器收尘灰、废滤网、不合格产品及边角料、废布袋等一般固体废物和生活垃圾。</w:t>
      </w:r>
    </w:p>
    <w:p w14:paraId="5CE9506B">
      <w:pPr>
        <w:pStyle w:val="14"/>
        <w:keepNext w:val="0"/>
        <w:keepLines w:val="0"/>
        <w:pageBreakBefore w:val="0"/>
        <w:kinsoku/>
        <w:wordWrap/>
        <w:autoSpaceDE/>
        <w:autoSpaceDN/>
        <w:bidi w:val="0"/>
        <w:spacing w:line="540" w:lineRule="exact"/>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各类危险废物分类分区暂存于危险废物贮存点，定期委托有资质的危险废物经营单位处置。严格执行危险废物转移联单制度，按照《危险废物贮存污染控制标准》（GB18597-2023）的相关要求建设和管理危险废物贮存库。堆场分拣杂质收集后暂存在一般固体废物暂存间，定期委托环卫部门清运处置；沉淀池底泥待生产季结束后</w:t>
      </w:r>
      <w:r>
        <w:rPr>
          <w:rFonts w:hint="default" w:ascii="Times New Roman" w:hAnsi="Times New Roman" w:eastAsia="方正仿宋简体" w:cs="Times New Roman"/>
          <w:color w:val="auto"/>
          <w:kern w:val="0"/>
          <w:sz w:val="32"/>
          <w:szCs w:val="32"/>
        </w:rPr>
        <w:t>统一清掏，经自然干化后</w:t>
      </w:r>
      <w:r>
        <w:rPr>
          <w:rFonts w:hint="default" w:ascii="Times New Roman" w:hAnsi="Times New Roman" w:eastAsia="方正仿宋简体" w:cs="Times New Roman"/>
          <w:kern w:val="0"/>
          <w:sz w:val="32"/>
          <w:szCs w:val="32"/>
        </w:rPr>
        <w:t>与布袋除尘器收尘灰清运至阿拉尔市固体废物填埋场；废滤网暂存一般固体废物暂存间，定期外售废品收购站；不合格产品及边角料回用于造粒生产工序；废布袋由厂家直接带走，不在项目区贮存。生活垃圾集中收集后交由当地环卫部门统一处理。</w:t>
      </w:r>
    </w:p>
    <w:p w14:paraId="7BCC1DD7">
      <w:pPr>
        <w:keepNext w:val="0"/>
        <w:keepLines w:val="0"/>
        <w:pageBreakBefore w:val="0"/>
        <w:kinsoku/>
        <w:wordWrap/>
        <w:autoSpaceDE/>
        <w:autoSpaceDN/>
        <w:bidi w:val="0"/>
        <w:spacing w:line="540" w:lineRule="exact"/>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_GB2312" w:cs="Times New Roman"/>
          <w:kern w:val="0"/>
          <w:sz w:val="32"/>
          <w:szCs w:val="32"/>
        </w:rPr>
        <w:t>。</w:t>
      </w:r>
      <w:r>
        <w:rPr>
          <w:rFonts w:hint="default" w:ascii="Times New Roman" w:hAnsi="Times New Roman" w:eastAsia="方正仿宋简体" w:cs="Times New Roman"/>
          <w:kern w:val="0"/>
          <w:sz w:val="32"/>
          <w:szCs w:val="32"/>
        </w:rPr>
        <w:t>项目厂区划分重点防渗区、一般防渗区、简单防渗区。根据不同的防渗区采取相应的防渗措施。危险废物贮存点为重点防渗区，按照《危险废物贮存污染控制标准》（GB18597-2023）的相关要求进行建设；一般防渗区为一般固体废物暂存间、造粒车间、塑料制品生产车间、沉淀池、化粪池，防渗要求为“等效黏土防渗层Mb≥1.5米，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厘米/秒”；其余生活办公区及非生产区硬化部位为简单防渗区，采取一般性的地面硬化措施。</w:t>
      </w:r>
    </w:p>
    <w:p w14:paraId="09E04108">
      <w:pPr>
        <w:pStyle w:val="3"/>
        <w:keepNext w:val="0"/>
        <w:keepLines w:val="0"/>
        <w:pageBreakBefore w:val="0"/>
        <w:kinsoku/>
        <w:wordWrap/>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七</w:t>
      </w:r>
      <w:r>
        <w:rPr>
          <w:rFonts w:hint="default" w:ascii="Times New Roman" w:hAnsi="Times New Roman" w:eastAsia="方正楷体简体" w:cs="Times New Roman"/>
          <w:kern w:val="0"/>
          <w:sz w:val="32"/>
          <w:szCs w:val="32"/>
          <w:lang w:val="zh-CN"/>
        </w:rPr>
        <w:t>）加强项目环境风险防范。</w:t>
      </w:r>
      <w:r>
        <w:rPr>
          <w:rFonts w:hint="default" w:ascii="Times New Roman" w:hAnsi="Times New Roman" w:eastAsia="方正仿宋简体" w:cs="Times New Roman"/>
          <w:sz w:val="32"/>
          <w:szCs w:val="32"/>
        </w:rPr>
        <w:t>建立严格的环境风险管理制度，认真落实《报告书》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4EC12FAF">
      <w:pPr>
        <w:keepNext w:val="0"/>
        <w:keepLines w:val="0"/>
        <w:pageBreakBefore w:val="0"/>
        <w:kinsoku/>
        <w:wordWrap/>
        <w:autoSpaceDE/>
        <w:autoSpaceDN/>
        <w:bidi w:val="0"/>
        <w:spacing w:line="540" w:lineRule="exact"/>
        <w:ind w:firstLine="640" w:firstLineChars="200"/>
        <w:textAlignment w:val="auto"/>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20BD6503">
      <w:pPr>
        <w:pStyle w:val="9"/>
        <w:keepNext w:val="0"/>
        <w:keepLines w:val="0"/>
        <w:pageBreakBefore w:val="0"/>
        <w:kinsoku/>
        <w:wordWrap/>
        <w:autoSpaceDE/>
        <w:autoSpaceDN/>
        <w:bidi w:val="0"/>
        <w:spacing w:after="0" w:line="540" w:lineRule="exact"/>
        <w:ind w:left="0" w:leftChars="0" w:firstLine="64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1920F248">
      <w:pPr>
        <w:pStyle w:val="9"/>
        <w:keepNext w:val="0"/>
        <w:keepLines w:val="0"/>
        <w:pageBreakBefore w:val="0"/>
        <w:kinsoku/>
        <w:wordWrap/>
        <w:autoSpaceDE/>
        <w:autoSpaceDN/>
        <w:bidi w:val="0"/>
        <w:spacing w:after="0" w:line="540" w:lineRule="exact"/>
        <w:ind w:left="0" w:leftChars="0" w:firstLine="640"/>
        <w:textAlignment w:val="auto"/>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7CE5AB77">
      <w:pPr>
        <w:pStyle w:val="9"/>
        <w:keepNext w:val="0"/>
        <w:keepLines w:val="0"/>
        <w:pageBreakBefore w:val="0"/>
        <w:kinsoku/>
        <w:wordWrap/>
        <w:autoSpaceDE/>
        <w:autoSpaceDN/>
        <w:bidi w:val="0"/>
        <w:spacing w:after="0" w:line="540" w:lineRule="exact"/>
        <w:ind w:left="0" w:leftChars="0" w:firstLine="640"/>
        <w:textAlignment w:val="auto"/>
        <w:rPr>
          <w:rFonts w:hint="eastAsia" w:ascii="方正仿宋简体" w:hAnsi="方正仿宋简体" w:eastAsia="方正仿宋简体" w:cs="方正仿宋简体"/>
          <w:kern w:val="0"/>
          <w:sz w:val="32"/>
          <w:szCs w:val="32"/>
        </w:rPr>
      </w:pPr>
      <w:r>
        <w:rPr>
          <w:rFonts w:hint="default" w:ascii="Times New Roman" w:hAnsi="Times New Roman" w:eastAsia="方正黑体简体" w:cs="Times New Roman"/>
          <w:kern w:val="0"/>
          <w:sz w:val="32"/>
          <w:szCs w:val="32"/>
          <w:lang w:val="zh-CN"/>
        </w:rPr>
        <w:t>七、</w:t>
      </w:r>
      <w:r>
        <w:rPr>
          <w:rFonts w:hint="eastAsia" w:ascii="方正仿宋简体" w:hAnsi="方正仿宋简体" w:eastAsia="方正仿宋简体" w:cs="方正仿宋简体"/>
          <w:kern w:val="0"/>
          <w:sz w:val="32"/>
          <w:szCs w:val="32"/>
        </w:rPr>
        <w:t>十二团塔南镇</w:t>
      </w:r>
      <w:r>
        <w:rPr>
          <w:rFonts w:hint="eastAsia" w:ascii="方正仿宋简体" w:hAnsi="方正仿宋简体" w:eastAsia="方正仿宋简体" w:cs="方正仿宋简体"/>
          <w:kern w:val="0"/>
          <w:sz w:val="32"/>
          <w:szCs w:val="32"/>
          <w:lang w:val="zh-CN"/>
        </w:rPr>
        <w:t>积极发挥政府职能，做好该项目环境保护管理工作，师市生态环境保护综合行政执法支队做好该项目的抽查</w:t>
      </w:r>
      <w:r>
        <w:rPr>
          <w:rFonts w:hint="eastAsia" w:ascii="方正仿宋简体" w:hAnsi="方正仿宋简体" w:eastAsia="方正仿宋简体" w:cs="方正仿宋简体"/>
          <w:kern w:val="0"/>
          <w:sz w:val="32"/>
          <w:szCs w:val="32"/>
        </w:rPr>
        <w:t>及</w:t>
      </w:r>
      <w:r>
        <w:rPr>
          <w:rFonts w:hint="eastAsia" w:ascii="方正仿宋简体" w:hAnsi="方正仿宋简体" w:eastAsia="方正仿宋简体" w:cs="方正仿宋简体"/>
          <w:kern w:val="0"/>
          <w:sz w:val="32"/>
          <w:szCs w:val="32"/>
          <w:lang w:val="zh-CN"/>
        </w:rPr>
        <w:t>日常监督管理工作</w:t>
      </w:r>
      <w:r>
        <w:rPr>
          <w:rFonts w:hint="eastAsia" w:ascii="方正仿宋简体" w:hAnsi="方正仿宋简体" w:eastAsia="方正仿宋简体" w:cs="方正仿宋简体"/>
          <w:kern w:val="0"/>
          <w:sz w:val="32"/>
          <w:szCs w:val="32"/>
        </w:rPr>
        <w:t>。</w:t>
      </w:r>
    </w:p>
    <w:p w14:paraId="62F19A90">
      <w:pPr>
        <w:pStyle w:val="9"/>
        <w:keepNext w:val="0"/>
        <w:keepLines w:val="0"/>
        <w:pageBreakBefore w:val="0"/>
        <w:kinsoku/>
        <w:wordWrap/>
        <w:autoSpaceDE/>
        <w:autoSpaceDN/>
        <w:bidi w:val="0"/>
        <w:spacing w:after="0" w:line="540" w:lineRule="exact"/>
        <w:ind w:left="0" w:leftChars="0" w:firstLine="640"/>
        <w:textAlignment w:val="auto"/>
        <w:rPr>
          <w:rFonts w:hint="eastAsia" w:ascii="方正仿宋简体" w:hAnsi="方正仿宋简体" w:eastAsia="方正仿宋简体" w:cs="方正仿宋简体"/>
          <w:kern w:val="0"/>
          <w:sz w:val="32"/>
          <w:szCs w:val="32"/>
        </w:rPr>
      </w:pPr>
      <w:r>
        <w:rPr>
          <w:rFonts w:hint="eastAsia" w:ascii="方正仿宋简体" w:hAnsi="方正仿宋简体" w:eastAsia="方正仿宋简体" w:cs="方正仿宋简体"/>
          <w:kern w:val="0"/>
          <w:sz w:val="32"/>
          <w:szCs w:val="32"/>
        </w:rPr>
        <w:t>如你单位对本审批决定有不同意见，</w:t>
      </w:r>
      <w:r>
        <w:rPr>
          <w:rFonts w:hint="eastAsia" w:ascii="方正仿宋简体" w:hAnsi="方正仿宋简体" w:eastAsia="方正仿宋简体" w:cs="方正仿宋简体"/>
          <w:kern w:val="0"/>
          <w:sz w:val="32"/>
          <w:szCs w:val="32"/>
        </w:rPr>
        <w:t>可在接到本决定书之日起六十日内向阿拉尔市人民政府申请行政复议，也可在六个月内依法向阿拉尔垦区人民法院起诉。</w:t>
      </w:r>
    </w:p>
    <w:p w14:paraId="025D4C9A">
      <w:pPr>
        <w:keepNext w:val="0"/>
        <w:keepLines w:val="0"/>
        <w:pageBreakBefore w:val="0"/>
        <w:widowControl/>
        <w:kinsoku/>
        <w:wordWrap/>
        <w:autoSpaceDE/>
        <w:autoSpaceDN/>
        <w:bidi w:val="0"/>
        <w:spacing w:line="540" w:lineRule="exact"/>
        <w:textAlignment w:val="auto"/>
        <w:rPr>
          <w:rFonts w:hint="default" w:ascii="Times New Roman" w:hAnsi="Times New Roman" w:eastAsia="方正仿宋_GB2312" w:cs="Times New Roman"/>
          <w:kern w:val="0"/>
          <w:sz w:val="32"/>
          <w:szCs w:val="32"/>
        </w:rPr>
      </w:pPr>
    </w:p>
    <w:p w14:paraId="7A3E8F08">
      <w:pPr>
        <w:keepNext w:val="0"/>
        <w:keepLines w:val="0"/>
        <w:pageBreakBefore w:val="0"/>
        <w:widowControl/>
        <w:kinsoku/>
        <w:wordWrap/>
        <w:autoSpaceDE/>
        <w:autoSpaceDN/>
        <w:bidi w:val="0"/>
        <w:spacing w:line="540" w:lineRule="exact"/>
        <w:textAlignment w:val="auto"/>
        <w:rPr>
          <w:rFonts w:hint="default" w:ascii="Times New Roman" w:hAnsi="Times New Roman" w:eastAsia="方正仿宋_GB2312" w:cs="Times New Roman"/>
          <w:kern w:val="0"/>
          <w:sz w:val="32"/>
          <w:szCs w:val="32"/>
        </w:rPr>
      </w:pPr>
    </w:p>
    <w:p w14:paraId="16BD0A1A">
      <w:pPr>
        <w:keepNext w:val="0"/>
        <w:keepLines w:val="0"/>
        <w:pageBreakBefore w:val="0"/>
        <w:widowControl/>
        <w:kinsoku/>
        <w:wordWrap/>
        <w:autoSpaceDE/>
        <w:autoSpaceDN/>
        <w:bidi w:val="0"/>
        <w:spacing w:line="540" w:lineRule="exact"/>
        <w:ind w:firstLine="4800" w:firstLineChars="1500"/>
        <w:textAlignment w:val="auto"/>
        <w:rPr>
          <w:rFonts w:hint="default" w:ascii="Times New Roman" w:hAnsi="Times New Roman" w:eastAsia="方正仿宋_GB2312" w:cs="Times New Roman"/>
          <w:kern w:val="0"/>
          <w:sz w:val="32"/>
          <w:szCs w:val="32"/>
        </w:rPr>
      </w:pPr>
      <w:r>
        <w:rPr>
          <w:rFonts w:hint="eastAsia" w:ascii="方正仿宋简体" w:hAnsi="方正仿宋简体" w:eastAsia="方正仿宋简体" w:cs="方正仿宋简体"/>
          <w:kern w:val="0"/>
          <w:sz w:val="32"/>
          <w:szCs w:val="32"/>
        </w:rPr>
        <w:t>第一师阿拉尔市生态</w:t>
      </w:r>
      <w:bookmarkStart w:id="0" w:name="_GoBack"/>
      <w:bookmarkEnd w:id="0"/>
      <w:r>
        <w:rPr>
          <w:rFonts w:hint="eastAsia" w:ascii="方正仿宋简体" w:hAnsi="方正仿宋简体" w:eastAsia="方正仿宋简体" w:cs="方正仿宋简体"/>
          <w:kern w:val="0"/>
          <w:sz w:val="32"/>
          <w:szCs w:val="32"/>
        </w:rPr>
        <w:t>环境局</w:t>
      </w:r>
    </w:p>
    <w:p w14:paraId="4FFCA4EC">
      <w:pPr>
        <w:keepNext w:val="0"/>
        <w:keepLines w:val="0"/>
        <w:pageBreakBefore w:val="0"/>
        <w:widowControl/>
        <w:kinsoku/>
        <w:wordWrap/>
        <w:autoSpaceDE/>
        <w:autoSpaceDN/>
        <w:bidi w:val="0"/>
        <w:spacing w:line="540" w:lineRule="exact"/>
        <w:ind w:firstLine="5600" w:firstLineChars="1750"/>
        <w:textAlignment w:val="auto"/>
        <w:rPr>
          <w:rFonts w:hint="default" w:ascii="Times New Roman" w:hAnsi="Times New Roman" w:eastAsia="方正仿宋_GB2312" w:cs="Times New Roman"/>
          <w:kern w:val="0"/>
          <w:sz w:val="32"/>
          <w:szCs w:val="32"/>
          <w:highlight w:val="yellow"/>
        </w:rPr>
      </w:pPr>
      <w:r>
        <w:rPr>
          <w:rFonts w:hint="default" w:ascii="Times New Roman" w:hAnsi="Times New Roman" w:eastAsia="方正仿宋_GB2312" w:cs="Times New Roman"/>
          <w:kern w:val="0"/>
          <w:sz w:val="32"/>
          <w:szCs w:val="32"/>
        </w:rPr>
        <w:t>2026</w:t>
      </w:r>
      <w:r>
        <w:rPr>
          <w:rFonts w:hint="eastAsia" w:ascii="方正仿宋简体" w:hAnsi="方正仿宋简体" w:eastAsia="方正仿宋简体" w:cs="方正仿宋简体"/>
          <w:kern w:val="0"/>
          <w:sz w:val="32"/>
          <w:szCs w:val="32"/>
        </w:rPr>
        <w:t>年</w:t>
      </w:r>
      <w:r>
        <w:rPr>
          <w:rFonts w:hint="default" w:ascii="Times New Roman" w:hAnsi="Times New Roman" w:eastAsia="方正仿宋_GB2312" w:cs="Times New Roman"/>
          <w:kern w:val="0"/>
          <w:sz w:val="32"/>
          <w:szCs w:val="32"/>
        </w:rPr>
        <w:t>7</w:t>
      </w:r>
      <w:r>
        <w:rPr>
          <w:rFonts w:hint="eastAsia" w:ascii="方正仿宋简体" w:hAnsi="方正仿宋简体" w:eastAsia="方正仿宋简体" w:cs="方正仿宋简体"/>
          <w:kern w:val="0"/>
          <w:sz w:val="32"/>
          <w:szCs w:val="32"/>
        </w:rPr>
        <w:t>月</w:t>
      </w:r>
      <w:r>
        <w:rPr>
          <w:rFonts w:hint="eastAsia" w:eastAsia="方正仿宋_GB2312" w:cs="Times New Roman"/>
          <w:kern w:val="0"/>
          <w:sz w:val="32"/>
          <w:szCs w:val="32"/>
          <w:lang w:val="en-US" w:eastAsia="zh-CN"/>
        </w:rPr>
        <w:t>24</w:t>
      </w:r>
      <w:r>
        <w:rPr>
          <w:rFonts w:hint="eastAsia" w:ascii="方正仿宋简体" w:hAnsi="方正仿宋简体" w:eastAsia="方正仿宋简体" w:cs="方正仿宋简体"/>
          <w:kern w:val="0"/>
          <w:sz w:val="32"/>
          <w:szCs w:val="32"/>
        </w:rPr>
        <w:t>日</w:t>
      </w:r>
    </w:p>
    <w:p w14:paraId="10CC893E">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72474A7">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7A6E98C">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48128DB">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05F81B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2FF0FE2">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44CC71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E4BCB9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309C12C">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AC89189">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04E772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4E775A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0C22A7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7B8379A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F195B88">
      <w:pPr>
        <w:widowControl/>
        <w:spacing w:line="540" w:lineRule="exact"/>
        <w:rPr>
          <w:rFonts w:hint="default" w:ascii="Times New Roman" w:hAnsi="Times New Roman" w:eastAsia="方正仿宋_GB2312" w:cs="Times New Roman"/>
          <w:kern w:val="0"/>
          <w:sz w:val="32"/>
          <w:szCs w:val="32"/>
          <w:highlight w:val="yellow"/>
        </w:rPr>
      </w:pPr>
    </w:p>
    <w:p w14:paraId="1DE72138">
      <w:pPr>
        <w:topLinePunct/>
        <w:adjustRightInd w:val="0"/>
        <w:snapToGrid w:val="0"/>
        <w:spacing w:line="540" w:lineRule="exact"/>
        <w:ind w:left="840" w:hanging="672" w:hangingChars="300"/>
        <w:rPr>
          <w:rFonts w:hint="default" w:ascii="Times New Roman" w:hAnsi="Times New Roman" w:eastAsia="方正仿宋简体" w:cs="Times New Roman"/>
          <w:color w:val="000000"/>
          <w:spacing w:val="-28"/>
          <w:sz w:val="22"/>
          <w:szCs w:val="22"/>
        </w:rPr>
      </w:pPr>
      <w:r>
        <w:rPr>
          <w:rFonts w:hint="default" w:ascii="Times New Roman" w:hAnsi="Times New Roman" w:eastAsia="方正仿宋_GB2312"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color w:val="000000"/>
          <w:spacing w:val="-28"/>
          <w:sz w:val="28"/>
          <w:szCs w:val="28"/>
        </w:rPr>
        <w:t>抄送：</w:t>
      </w:r>
      <w:r>
        <w:rPr>
          <w:rFonts w:hint="default" w:ascii="Times New Roman" w:hAnsi="Times New Roman" w:eastAsia="方正仿宋简体" w:cs="Times New Roman"/>
          <w:color w:val="000000"/>
          <w:spacing w:val="-28"/>
          <w:sz w:val="28"/>
          <w:szCs w:val="28"/>
        </w:rPr>
        <w:t xml:space="preserve">十二团塔南镇 </w:t>
      </w:r>
      <w:r>
        <w:rPr>
          <w:rFonts w:hint="default" w:ascii="Times New Roman" w:hAnsi="Times New Roman" w:eastAsia="方正仿宋简体" w:cs="Times New Roman"/>
          <w:color w:val="000000"/>
          <w:spacing w:val="-28"/>
          <w:sz w:val="24"/>
        </w:rPr>
        <w:t>，</w:t>
      </w:r>
      <w:r>
        <w:rPr>
          <w:rFonts w:hint="default" w:ascii="Times New Roman" w:hAnsi="Times New Roman" w:eastAsia="方正仿宋简体" w:cs="Times New Roman"/>
          <w:color w:val="000000"/>
          <w:spacing w:val="-28"/>
          <w:sz w:val="28"/>
          <w:szCs w:val="28"/>
        </w:rPr>
        <w:t>生态环境保护综合行政执法支队，</w:t>
      </w:r>
      <w:r>
        <w:rPr>
          <w:rFonts w:hint="default" w:ascii="Times New Roman" w:hAnsi="Times New Roman" w:eastAsia="方正仿宋简体" w:cs="Times New Roman"/>
          <w:sz w:val="28"/>
          <w:szCs w:val="28"/>
        </w:rPr>
        <w:t>新疆泰驰环保科技有限公司</w:t>
      </w:r>
    </w:p>
    <w:p w14:paraId="6EB83BA3">
      <w:pPr>
        <w:spacing w:line="540" w:lineRule="exact"/>
        <w:rPr>
          <w:rFonts w:hint="default" w:ascii="Times New Roman" w:hAnsi="Times New Roman" w:eastAsia="方正仿宋_GB2312" w:cs="Times New Roman"/>
        </w:rPr>
      </w:pPr>
      <w:r>
        <w:rPr>
          <w:rFonts w:hint="default" w:ascii="Times New Roman" w:hAnsi="Times New Roman" w:eastAsia="方正仿宋简体"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color w:val="000000" w:themeColor="text1"/>
          <w:sz w:val="28"/>
          <w:szCs w:val="28"/>
          <w14:textFill>
            <w14:solidFill>
              <w14:schemeClr w14:val="tx1"/>
            </w14:solidFill>
          </w14:textFill>
        </w:rPr>
        <w:t>第一师阿拉尔市生态环境局</w:t>
      </w:r>
      <w:r>
        <w:rPr>
          <w:rFonts w:hint="default" w:ascii="Times New Roman" w:hAnsi="Times New Roman" w:eastAsia="方正仿宋_GB2312" w:cs="Times New Roman"/>
          <w:sz w:val="28"/>
          <w:szCs w:val="28"/>
        </w:rPr>
        <w:t xml:space="preserve">                   2026年7月</w:t>
      </w:r>
      <w:r>
        <w:rPr>
          <w:rFonts w:hint="eastAsia" w:eastAsia="方正仿宋_GB2312" w:cs="Times New Roman"/>
          <w:sz w:val="28"/>
          <w:szCs w:val="28"/>
          <w:lang w:val="en-US" w:eastAsia="zh-CN"/>
        </w:rPr>
        <w:t>31</w:t>
      </w:r>
      <w:r>
        <w:rPr>
          <w:rFonts w:hint="default" w:ascii="Times New Roman" w:hAnsi="Times New Roman" w:eastAsia="方正仿宋_GB2312"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925DC6CD-90DB-476B-8182-CD380642D217}"/>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E6C4DA44-9C81-4F62-B5AC-7F94383CD201}"/>
  </w:font>
  <w:font w:name="方正小标宋_GBK">
    <w:panose1 w:val="02000000000000000000"/>
    <w:charset w:val="86"/>
    <w:family w:val="auto"/>
    <w:pitch w:val="default"/>
    <w:sig w:usb0="A00002BF" w:usb1="38CF7CFA" w:usb2="00082016" w:usb3="00000000" w:csb0="00040001" w:csb1="00000000"/>
    <w:embedRegular r:id="rId3" w:fontKey="{4B5CCA12-6DB9-43D2-8EFD-A28E74885070}"/>
  </w:font>
  <w:font w:name="方正小标宋简体">
    <w:panose1 w:val="02000000000000000000"/>
    <w:charset w:val="86"/>
    <w:family w:val="auto"/>
    <w:pitch w:val="default"/>
    <w:sig w:usb0="00000001" w:usb1="08000000" w:usb2="00000000" w:usb3="00000000" w:csb0="00040000" w:csb1="00000000"/>
    <w:embedRegular r:id="rId4" w:fontKey="{FF98DB89-EFC2-45AD-B3D2-5BC4D41AED45}"/>
  </w:font>
  <w:font w:name="方正仿宋简体">
    <w:panose1 w:val="02000000000000000000"/>
    <w:charset w:val="86"/>
    <w:family w:val="auto"/>
    <w:pitch w:val="default"/>
    <w:sig w:usb0="A00002BF" w:usb1="184F6CFA" w:usb2="00000012" w:usb3="00000000" w:csb0="00040001" w:csb1="00000000"/>
    <w:embedRegular r:id="rId5" w:fontKey="{18087FEE-55B0-40EF-8AA2-CB68DABE8508}"/>
  </w:font>
  <w:font w:name="方正黑体简体">
    <w:panose1 w:val="02000000000000000000"/>
    <w:charset w:val="86"/>
    <w:family w:val="auto"/>
    <w:pitch w:val="default"/>
    <w:sig w:usb0="A00002BF" w:usb1="184F6CFA" w:usb2="00000012" w:usb3="00000000" w:csb0="00040001" w:csb1="00000000"/>
    <w:embedRegular r:id="rId6" w:fontKey="{63CCA2DC-5D2D-4D96-8B06-5F02C11DF25D}"/>
  </w:font>
  <w:font w:name="方正楷体简体">
    <w:panose1 w:val="02000000000000000000"/>
    <w:charset w:val="86"/>
    <w:family w:val="auto"/>
    <w:pitch w:val="default"/>
    <w:sig w:usb0="A00002BF" w:usb1="184F6CFA" w:usb2="00000012" w:usb3="00000000" w:csb0="00040001" w:csb1="00000000"/>
    <w:embedRegular r:id="rId7" w:fontKey="{9987AE46-1F74-4BD3-A8C5-786033D6BD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2D431">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4B9AD6">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4</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F4B9AD6">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4</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D621">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096A3B"/>
    <w:rsid w:val="006206AF"/>
    <w:rsid w:val="008A3AF5"/>
    <w:rsid w:val="0091765E"/>
    <w:rsid w:val="00AB652D"/>
    <w:rsid w:val="00BA5300"/>
    <w:rsid w:val="01AD4976"/>
    <w:rsid w:val="01D54B7E"/>
    <w:rsid w:val="02CF517F"/>
    <w:rsid w:val="02D972F5"/>
    <w:rsid w:val="02DA7847"/>
    <w:rsid w:val="09577D60"/>
    <w:rsid w:val="0A7C794A"/>
    <w:rsid w:val="0AC12522"/>
    <w:rsid w:val="0C7B2648"/>
    <w:rsid w:val="0C8A53CB"/>
    <w:rsid w:val="0DCE6ECC"/>
    <w:rsid w:val="0E310070"/>
    <w:rsid w:val="0E5C209B"/>
    <w:rsid w:val="13BF1F8A"/>
    <w:rsid w:val="13F50A51"/>
    <w:rsid w:val="142A63F2"/>
    <w:rsid w:val="18923D42"/>
    <w:rsid w:val="1893524B"/>
    <w:rsid w:val="18B13BE0"/>
    <w:rsid w:val="18CE20EA"/>
    <w:rsid w:val="1A797E6C"/>
    <w:rsid w:val="1C8D2073"/>
    <w:rsid w:val="1CAA5872"/>
    <w:rsid w:val="1E423D43"/>
    <w:rsid w:val="20654122"/>
    <w:rsid w:val="21633681"/>
    <w:rsid w:val="237E6C9D"/>
    <w:rsid w:val="24AE2000"/>
    <w:rsid w:val="25272CFC"/>
    <w:rsid w:val="25B71CDA"/>
    <w:rsid w:val="262F4CC7"/>
    <w:rsid w:val="28DB65A4"/>
    <w:rsid w:val="2CF565EF"/>
    <w:rsid w:val="2E563679"/>
    <w:rsid w:val="2E7B7DE7"/>
    <w:rsid w:val="2F422BC3"/>
    <w:rsid w:val="2F505B14"/>
    <w:rsid w:val="2FA54F96"/>
    <w:rsid w:val="30A035BB"/>
    <w:rsid w:val="30DA29B8"/>
    <w:rsid w:val="31B148A8"/>
    <w:rsid w:val="31F1590E"/>
    <w:rsid w:val="328330A2"/>
    <w:rsid w:val="33E636E2"/>
    <w:rsid w:val="34E450A8"/>
    <w:rsid w:val="35E12C8E"/>
    <w:rsid w:val="37CF27BE"/>
    <w:rsid w:val="381D1CB1"/>
    <w:rsid w:val="39870834"/>
    <w:rsid w:val="39CD29B4"/>
    <w:rsid w:val="3B132C17"/>
    <w:rsid w:val="3B506C62"/>
    <w:rsid w:val="3CF63D19"/>
    <w:rsid w:val="3DF3675E"/>
    <w:rsid w:val="3FD557A5"/>
    <w:rsid w:val="40FE5FEE"/>
    <w:rsid w:val="49F02B32"/>
    <w:rsid w:val="4AD72475"/>
    <w:rsid w:val="4AF13073"/>
    <w:rsid w:val="4B8F0F1D"/>
    <w:rsid w:val="4C8362DC"/>
    <w:rsid w:val="4EB22390"/>
    <w:rsid w:val="4F974A08"/>
    <w:rsid w:val="53D6683C"/>
    <w:rsid w:val="53D96FF6"/>
    <w:rsid w:val="547F78C3"/>
    <w:rsid w:val="563620CF"/>
    <w:rsid w:val="56463710"/>
    <w:rsid w:val="57FB18AC"/>
    <w:rsid w:val="5B1A029B"/>
    <w:rsid w:val="5B3873D9"/>
    <w:rsid w:val="5E6D5D9C"/>
    <w:rsid w:val="5EB73272"/>
    <w:rsid w:val="60CE1E21"/>
    <w:rsid w:val="612B3202"/>
    <w:rsid w:val="65B26EE5"/>
    <w:rsid w:val="6727066C"/>
    <w:rsid w:val="6859222C"/>
    <w:rsid w:val="6ADB5079"/>
    <w:rsid w:val="6C9577F7"/>
    <w:rsid w:val="6DA41A46"/>
    <w:rsid w:val="70DD49B2"/>
    <w:rsid w:val="720C27E4"/>
    <w:rsid w:val="72207C37"/>
    <w:rsid w:val="75CB690A"/>
    <w:rsid w:val="768371E5"/>
    <w:rsid w:val="7BDB726D"/>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kern w:val="0"/>
      <w:sz w:val="20"/>
    </w:rPr>
  </w:style>
  <w:style w:type="paragraph" w:customStyle="1" w:styleId="6">
    <w:name w:val="Default"/>
    <w:basedOn w:val="7"/>
    <w:next w:val="1"/>
    <w:qFormat/>
    <w:uiPriority w:val="0"/>
    <w:pPr>
      <w:tabs>
        <w:tab w:val="left" w:pos="2760"/>
      </w:tabs>
      <w:autoSpaceDE w:val="0"/>
      <w:autoSpaceDN w:val="0"/>
    </w:pPr>
    <w:rPr>
      <w:rFonts w:ascii="Times New Roman" w:hAnsi="Times New Roman"/>
      <w:color w:val="000000"/>
      <w:sz w:val="24"/>
    </w:rPr>
  </w:style>
  <w:style w:type="paragraph" w:customStyle="1" w:styleId="7">
    <w:name w:val="纯文本1"/>
    <w:basedOn w:val="1"/>
    <w:qFormat/>
    <w:uiPriority w:val="0"/>
    <w:pPr>
      <w:tabs>
        <w:tab w:val="left" w:pos="2760"/>
      </w:tabs>
      <w:adjustRightInd w:val="0"/>
    </w:pPr>
    <w:rPr>
      <w:rFonts w:ascii="宋体" w:hAnsi="Courier New"/>
    </w:rPr>
  </w:style>
  <w:style w:type="paragraph" w:styleId="8">
    <w:name w:val="Body Text Indent"/>
    <w:basedOn w:val="1"/>
    <w:next w:val="9"/>
    <w:qFormat/>
    <w:uiPriority w:val="0"/>
    <w:pPr>
      <w:spacing w:after="120"/>
      <w:ind w:left="420" w:leftChars="200"/>
    </w:pPr>
  </w:style>
  <w:style w:type="paragraph" w:styleId="9">
    <w:name w:val="Body Text First Indent 2"/>
    <w:basedOn w:val="8"/>
    <w:next w:val="1"/>
    <w:qFormat/>
    <w:uiPriority w:val="0"/>
    <w:pPr>
      <w:ind w:firstLine="420" w:firstLineChars="200"/>
    </w:pPr>
  </w:style>
  <w:style w:type="paragraph" w:styleId="10">
    <w:name w:val="Plain Text"/>
    <w:basedOn w:val="1"/>
    <w:next w:val="11"/>
    <w:qFormat/>
    <w:uiPriority w:val="0"/>
    <w:pPr>
      <w:spacing w:line="500" w:lineRule="exact"/>
    </w:pPr>
    <w:rPr>
      <w:rFonts w:ascii="宋体" w:hAnsi="Courier New"/>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Body Text 2"/>
    <w:basedOn w:val="1"/>
    <w:unhideWhenUsed/>
    <w:qFormat/>
    <w:uiPriority w:val="99"/>
    <w:pPr>
      <w:spacing w:after="120" w:line="480" w:lineRule="auto"/>
    </w:pPr>
  </w:style>
  <w:style w:type="character" w:styleId="18">
    <w:name w:val="Strong"/>
    <w:basedOn w:val="17"/>
    <w:qFormat/>
    <w:uiPriority w:val="0"/>
    <w:rPr>
      <w:b/>
    </w:rPr>
  </w:style>
  <w:style w:type="paragraph" w:customStyle="1" w:styleId="19">
    <w:name w:val="样式 首行缩进:  2 字符1"/>
    <w:qFormat/>
    <w:uiPriority w:val="0"/>
    <w:pPr>
      <w:widowControl w:val="0"/>
      <w:spacing w:line="360" w:lineRule="auto"/>
      <w:ind w:firstLine="200" w:firstLineChars="200"/>
      <w:jc w:val="both"/>
    </w:pPr>
    <w:rPr>
      <w:rFonts w:ascii="Times New Roman" w:hAnsi="Times New Roman" w:eastAsia="宋体" w:cs="宋体"/>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d6a35252-0740-4154-8f16-feffaa33a69d</errorID>
      <errorWord> </errorWord>
      <group>L1_Word</group>
      <groupName>字词问题</groupName>
      <ability>L2_Typo</ability>
      <abilityName>字词错误</abilityName>
      <candidateList>
        <item>°</item>
      </candidateList>
      <explain/>
      <paraID>6AEF4DBE</paraID>
      <start>52</start>
      <end>53</end>
      <status>modified</status>
      <modifiedWord> </modifiedWord>
      <trackRevisions>false</trackRevisions>
    </reviewItem>
    <reviewItem>
      <errorID>d4250e88-d159-4f42-b913-35f0da4b219e</errorID>
      <errorWord> </errorWord>
      <group>L1_Word</group>
      <groupName>字词问题</groupName>
      <ability>L2_Typo</ability>
      <abilityName>字词错误</abilityName>
      <candidateList>
        <item>°</item>
      </candidateList>
      <explain/>
      <paraID>6AEF4DBE</paraID>
      <start>68</start>
      <end>69</end>
      <status>modified</status>
      <modifiedWord> </modifiedWord>
      <trackRevisions>false</trackRevisions>
    </reviewItem>
    <reviewItem>
      <errorID>3e765728-665f-4f53-863e-b7ecc02bd3fe</errorID>
      <errorWord>；</errorWord>
      <group>L1_Punc</group>
      <groupName>标点问题</groupName>
      <ability>L2_Punc_CN</ability>
      <abilityName>标点符号问题</abilityName>
      <candidateList>
        <item>、</item>
      </candidateList>
      <explain/>
      <paraID>6A68E1E1</paraID>
      <start>14</start>
      <end>15</end>
      <status>ignored</status>
      <modifiedWord/>
      <trackRevisions>false</trackRevisions>
    </reviewItem>
    <reviewItem>
      <errorID>1c777c3c-daff-4d7f-9c36-5adccef91019</errorID>
      <errorWord>；</errorWord>
      <group>L1_Punc</group>
      <groupName>标点问题</groupName>
      <ability>L2_Punc_CN</ability>
      <abilityName>标点符号问题</abilityName>
      <candidateList>
        <item>、</item>
      </candidateList>
      <explain/>
      <paraID>6A68E1E1</paraID>
      <start>30</start>
      <end>31</end>
      <status>ignored</status>
      <modifiedWord/>
      <trackRevisions>false</trackRevisions>
    </reviewItem>
    <reviewItem>
      <errorID>60e2ecbe-6e66-440f-8174-44bc7687a218</errorID>
      <errorWord>；</errorWord>
      <group>L1_Punc</group>
      <groupName>标点问题</groupName>
      <ability>L2_Punc_CN</ability>
      <abilityName>标点符号问题</abilityName>
      <candidateList>
        <item>、</item>
      </candidateList>
      <explain/>
      <paraID>6A68E1E1</paraID>
      <start>39</start>
      <end>40</end>
      <status>ignored</status>
      <modifiedWord/>
      <trackRevisions>false</trackRevisions>
    </reviewItem>
    <reviewItem>
      <errorID>b031826a-c255-455f-9cc9-04a6f86d2301</errorID>
      <errorWord>合同招标文件</errorWord>
      <group>L1_Grammar</group>
      <groupName>语法问题</groupName>
      <ability>L2_Grammar</ability>
      <abilityName>语法错误</abilityName>
      <candidateList>
        <item>合同</item>
      </candidateList>
      <explain/>
      <paraID>4EC12FAF</paraID>
      <start>64</start>
      <end>70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05f0dd-1ff6-4fe9-837c-f98e5f8bc092}">
  <ds:schemaRefs/>
</ds:datastoreItem>
</file>

<file path=docProps/app.xml><?xml version="1.0" encoding="utf-8"?>
<Properties xmlns="http://schemas.openxmlformats.org/officeDocument/2006/extended-properties" xmlns:vt="http://schemas.openxmlformats.org/officeDocument/2006/docPropsVTypes">
  <Template>Normal</Template>
  <Pages>6</Pages>
  <Words>2636</Words>
  <Characters>2831</Characters>
  <Lines>20</Lines>
  <Paragraphs>5</Paragraphs>
  <TotalTime>35</TotalTime>
  <ScaleCrop>false</ScaleCrop>
  <LinksUpToDate>false</LinksUpToDate>
  <CharactersWithSpaces>2851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2026-06-21T09:05:00Z</cp:lastPrinted>
  <dcterms:modified xsi:type="dcterms:W3CDTF">2026-07-31T08:57:41Z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3223D3B5652749C999BF7EA64873565C_13</vt:lpwstr>
  </property>
  <property fmtid="{D5CDD505-2E9C-101B-9397-08002B2CF9AE}" pid="4" name="KSOTemplateDocerSaveRecord">
    <vt:lpwstr>eyJoZGlkIjoiNzkyN2Q3NTJkYzdmNjE3ZGJjOWNiYzc5NjVkOTk4NGIiLCJ1c2VySWQiOiI2NDkyMTQ2MzcifQ==</vt:lpwstr>
  </property>
</Properties>
</file>