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713A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461D684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5086073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27A898A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54710960">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14:paraId="15D196C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3B0376E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13A1391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3BC32F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师市环审〔2026〕</w:t>
      </w:r>
      <w:r>
        <w:rPr>
          <w:rFonts w:hint="eastAsia" w:eastAsia="方正仿宋_GB2312" w:cs="Times New Roman"/>
          <w:sz w:val="32"/>
          <w:szCs w:val="32"/>
          <w:lang w:val="en-US" w:eastAsia="zh-CN"/>
        </w:rPr>
        <w:t>46</w:t>
      </w:r>
      <w:r>
        <w:rPr>
          <w:rFonts w:hint="default" w:ascii="Times New Roman" w:hAnsi="Times New Roman" w:eastAsia="方正仿宋_GB2312" w:cs="Times New Roman"/>
          <w:sz w:val="32"/>
          <w:szCs w:val="32"/>
        </w:rPr>
        <w:t>号</w:t>
      </w:r>
    </w:p>
    <w:p w14:paraId="3C1ACCB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Cs w:val="21"/>
        </w:rPr>
      </w:pPr>
    </w:p>
    <w:p w14:paraId="6865B50F">
      <w:pPr>
        <w:keepNext w:val="0"/>
        <w:keepLines w:val="0"/>
        <w:pageBreakBefore w:val="0"/>
        <w:widowControl/>
        <w:kinsoku/>
        <w:wordWrap/>
        <w:bidi w:val="0"/>
        <w:spacing w:line="54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关于阿拉尔市恒泰包装设备有限责任公司年产100万只钢桶项目环境影响报告表的批复</w:t>
      </w:r>
    </w:p>
    <w:p w14:paraId="3FFB3899">
      <w:pPr>
        <w:keepNext w:val="0"/>
        <w:keepLines w:val="0"/>
        <w:pageBreakBefore w:val="0"/>
        <w:widowControl/>
        <w:kinsoku/>
        <w:wordWrap/>
        <w:bidi w:val="0"/>
        <w:spacing w:line="540" w:lineRule="exact"/>
        <w:rPr>
          <w:rFonts w:hint="default" w:ascii="Times New Roman" w:hAnsi="Times New Roman" w:eastAsia="方正小标宋简体" w:cs="Times New Roman"/>
          <w:bCs/>
          <w:color w:val="0000FF"/>
          <w:sz w:val="44"/>
          <w:szCs w:val="44"/>
        </w:rPr>
      </w:pPr>
    </w:p>
    <w:p w14:paraId="3B960E6C">
      <w:pPr>
        <w:keepNext w:val="0"/>
        <w:keepLines w:val="0"/>
        <w:pageBreakBefore w:val="0"/>
        <w:widowControl/>
        <w:kinsoku/>
        <w:wordWrap/>
        <w:bidi w:val="0"/>
        <w:spacing w:line="54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仿宋" w:cs="Times New Roman"/>
          <w:sz w:val="32"/>
          <w:szCs w:val="32"/>
        </w:rPr>
        <w:t>阿拉尔市恒泰包装设备有限责任公司</w:t>
      </w:r>
      <w:r>
        <w:rPr>
          <w:rFonts w:hint="default" w:ascii="Times New Roman" w:hAnsi="Times New Roman" w:eastAsia="方正仿宋简体" w:cs="Times New Roman"/>
          <w:kern w:val="0"/>
          <w:sz w:val="32"/>
          <w:szCs w:val="32"/>
        </w:rPr>
        <w:t>：</w:t>
      </w:r>
    </w:p>
    <w:p w14:paraId="4B821F1C">
      <w:pPr>
        <w:keepNext w:val="0"/>
        <w:keepLines w:val="0"/>
        <w:pageBreakBefore w:val="0"/>
        <w:widowControl/>
        <w:kinsoku/>
        <w:wordWrap/>
        <w:bidi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你单位报送的《关于送审阿拉尔市恒泰包装设备有限责任公司年产100万只钢桶项目环境影响报告表的请示》及《阿拉尔市恒泰包装设备有限责任公司年产100万只钢桶项目环境影响报告表》（以下简称《报告表》）已收悉。经研究，现批复如下：</w:t>
      </w:r>
    </w:p>
    <w:p w14:paraId="7CB18144">
      <w:pPr>
        <w:keepNext w:val="0"/>
        <w:keepLines w:val="0"/>
        <w:pageBreakBefore w:val="0"/>
        <w:widowControl/>
        <w:kinsoku/>
        <w:wordWrap/>
        <w:bidi w:val="0"/>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rPr>
        <w:t>一、</w:t>
      </w:r>
      <w:r>
        <w:rPr>
          <w:rFonts w:hint="default" w:ascii="Times New Roman" w:hAnsi="Times New Roman" w:eastAsia="方正仿宋简体" w:cs="Times New Roman"/>
          <w:sz w:val="32"/>
          <w:szCs w:val="32"/>
        </w:rPr>
        <w:t>该项目位于阿拉尔市五团沙河镇西侧，项目区东侧隔道路为锅炉房、南侧隔道路为耕地、西侧相邻为联塑管道厂，北侧隔道路为公租房小区，中心地理坐标为东经80</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46′31.195″，北纬41</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22′21.141″。项目占地面积22520m</w:t>
      </w:r>
      <w:r>
        <w:rPr>
          <w:rFonts w:hint="default" w:ascii="Times New Roman" w:hAnsi="Times New Roman" w:eastAsia="方正仿宋简体" w:cs="Times New Roman"/>
          <w:sz w:val="32"/>
          <w:szCs w:val="32"/>
          <w:vertAlign w:val="superscript"/>
        </w:rPr>
        <w:t>2</w:t>
      </w:r>
      <w:r>
        <w:rPr>
          <w:rFonts w:hint="default" w:ascii="Times New Roman" w:hAnsi="Times New Roman" w:eastAsia="方正仿宋简体" w:cs="Times New Roman"/>
          <w:sz w:val="32"/>
          <w:szCs w:val="32"/>
        </w:rPr>
        <w:t>，建设内容为2栋生产车间、业务用房以及配套生产辅助设施，建成后年产100万只钢桶。生产工艺为开平板→卷圆缝焊→扳边→波纹→封口→高频除油→喷漆→烘干→成品。项目总投资2000万元，其中环保投资</w:t>
      </w:r>
      <w:r>
        <w:rPr>
          <w:rFonts w:hint="default"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3万元，占总投资的</w:t>
      </w:r>
      <w:r>
        <w:rPr>
          <w:rFonts w:hint="default"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.65%。</w:t>
      </w:r>
    </w:p>
    <w:p w14:paraId="377EBF02">
      <w:pPr>
        <w:keepNext w:val="0"/>
        <w:keepLines w:val="0"/>
        <w:pageBreakBefore w:val="0"/>
        <w:widowControl/>
        <w:kinsoku/>
        <w:wordWrap/>
        <w:bidi w:val="0"/>
        <w:spacing w:line="540" w:lineRule="exact"/>
        <w:ind w:firstLine="640" w:firstLineChars="200"/>
        <w:rPr>
          <w:rFonts w:hint="default" w:ascii="Times New Roman" w:hAnsi="Times New Roman" w:eastAsia="方正仿宋简体" w:cs="Times New Roman"/>
          <w:sz w:val="32"/>
          <w:szCs w:val="32"/>
          <w:lang w:val="zh-CN"/>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简体" w:cs="Times New Roman"/>
          <w:sz w:val="32"/>
          <w:szCs w:val="32"/>
        </w:rPr>
        <w:t>根据乌鲁木齐亨源祥通工程技术咨询有限公司编制的《报告表》评价结论及专家对项目的评价意见，该项目为集装箱及金属包装容器制造项目，在符合产业政策、选址符合国土空间规划等相关规划的前提下，从生态环境保护的角度，我局原则同意《报告表》结论。</w:t>
      </w:r>
    </w:p>
    <w:p w14:paraId="36ED799E">
      <w:pPr>
        <w:keepNext w:val="0"/>
        <w:keepLines w:val="0"/>
        <w:pageBreakBefore w:val="0"/>
        <w:widowControl/>
        <w:kinsoku/>
        <w:wordWrap/>
        <w:bidi w:val="0"/>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14:paraId="2CE1704B">
      <w:pPr>
        <w:keepNext w:val="0"/>
        <w:keepLines w:val="0"/>
        <w:pageBreakBefore w:val="0"/>
        <w:kinsoku/>
        <w:wordWrap/>
        <w:bidi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认真落实施工期生态环境保护和防沙治沙措施。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14:paraId="336B28F5">
      <w:pPr>
        <w:keepNext w:val="0"/>
        <w:keepLines w:val="0"/>
        <w:pageBreakBefore w:val="0"/>
        <w:widowControl/>
        <w:kinsoku/>
        <w:wordWrap/>
        <w:overflowPunct w:val="0"/>
        <w:topLinePunct w:val="0"/>
        <w:autoSpaceDE w:val="0"/>
        <w:autoSpaceDN w:val="0"/>
        <w:bidi w:val="0"/>
        <w:adjustRightInd w:val="0"/>
        <w:snapToGrid w:val="0"/>
        <w:spacing w:line="540" w:lineRule="exact"/>
        <w:ind w:firstLine="640" w:firstLineChars="200"/>
        <w:textAlignment w:val="baseline"/>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二</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严格落实大气污染防治措施。</w:t>
      </w:r>
      <w:r>
        <w:rPr>
          <w:rFonts w:hint="default" w:ascii="Times New Roman" w:hAnsi="Times New Roman" w:eastAsia="方正仿宋简体" w:cs="Times New Roman"/>
          <w:snapToGrid w:val="0"/>
          <w:color w:val="000000"/>
          <w:kern w:val="0"/>
          <w:sz w:val="32"/>
          <w:szCs w:val="32"/>
        </w:rPr>
        <w:t>该项目运营期产生的废气主要为焊接烟尘、除油废气、喷漆废气及烘干废气。项目除油房、喷漆房及烘干房均密闭，运行中持续负压集气，喷漆废气经水</w:t>
      </w:r>
      <w:r>
        <w:rPr>
          <w:rFonts w:hint="default" w:ascii="Times New Roman" w:hAnsi="Times New Roman" w:eastAsia="方正仿宋简体" w:cs="Times New Roman"/>
          <w:kern w:val="0"/>
          <w:sz w:val="32"/>
          <w:szCs w:val="32"/>
        </w:rPr>
        <w:t>幕机预处理后与除油废气和烘干废气一同进入“玻璃丝绵-G4过滤袋除尘装置”+活性炭吸附脱附-RCO蓄热式催化燃烧装置处理，废气中颗粒物、二氧化硫、氮氧化物及非甲烷总烃须满足《大气污染物综合排放标准》（GB16297-1996）表2中大气污染物排放限值要求后，通过一根15m高排气筒（DA001）排放。</w:t>
      </w:r>
    </w:p>
    <w:p w14:paraId="20D10924">
      <w:pPr>
        <w:keepNext w:val="0"/>
        <w:keepLines w:val="0"/>
        <w:pageBreakBefore w:val="0"/>
        <w:widowControl/>
        <w:kinsoku/>
        <w:wordWrap/>
        <w:overflowPunct w:val="0"/>
        <w:autoSpaceDE w:val="0"/>
        <w:autoSpaceDN w:val="0"/>
        <w:bidi w:val="0"/>
        <w:adjustRightInd w:val="0"/>
        <w:snapToGrid w:val="0"/>
        <w:spacing w:line="540" w:lineRule="exact"/>
        <w:ind w:firstLine="640" w:firstLineChars="200"/>
        <w:textAlignment w:val="baseline"/>
        <w:rPr>
          <w:rFonts w:hint="default" w:ascii="Times New Roman" w:hAnsi="Times New Roman" w:eastAsia="方正仿宋简体" w:cs="Times New Roman"/>
          <w:snapToGrid w:val="0"/>
          <w:color w:val="FF0000"/>
          <w:kern w:val="0"/>
          <w:sz w:val="32"/>
          <w:szCs w:val="32"/>
        </w:rPr>
      </w:pPr>
      <w:r>
        <w:rPr>
          <w:rFonts w:hint="default" w:ascii="Times New Roman" w:hAnsi="Times New Roman" w:eastAsia="方正仿宋简体" w:cs="Times New Roman"/>
          <w:snapToGrid w:val="0"/>
          <w:color w:val="000000"/>
          <w:kern w:val="0"/>
          <w:sz w:val="32"/>
          <w:szCs w:val="32"/>
        </w:rPr>
        <w:t>通过采取焊接工段设置焊烟净化器，焊接车间、除油、喷漆及烘干房密闭等措施，确保无组织排放废气中的颗粒物、二氧化硫、氮氧化物及非甲烷总烃须满足《大气污染物综合排放标准》（GB16297-1996）表2企业边界限值要求，厂区内非甲烷总烃须《挥发性有机物无组织排放控制标准》（GB37822-2019）中表A.1限值要求。</w:t>
      </w:r>
    </w:p>
    <w:p w14:paraId="50ABA6A1">
      <w:pPr>
        <w:keepNext w:val="0"/>
        <w:keepLines w:val="0"/>
        <w:pageBreakBefore w:val="0"/>
        <w:kinsoku/>
        <w:wordWrap/>
        <w:overflowPunct w:val="0"/>
        <w:topLinePunct/>
        <w:bidi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（三）严格落实水污染防治措施。</w:t>
      </w:r>
      <w:r>
        <w:rPr>
          <w:rFonts w:hint="default" w:ascii="Times New Roman" w:hAnsi="Times New Roman" w:eastAsia="方正仿宋简体" w:cs="Times New Roman"/>
          <w:kern w:val="0"/>
          <w:sz w:val="32"/>
          <w:szCs w:val="32"/>
        </w:rPr>
        <w:t>该项目运营期水幕机喷淋废水设置沉淀池处理后循环使用，不外排；生活污水经化粪池收集，须满足《污水综合排放标准》（GB8978-1996）中表4的三级排放标准后，通过市政污水管网排入五团生活污水处理厂。</w:t>
      </w:r>
    </w:p>
    <w:p w14:paraId="2661D9ED">
      <w:pPr>
        <w:pStyle w:val="14"/>
        <w:keepNext w:val="0"/>
        <w:keepLines w:val="0"/>
        <w:pageBreakBefore w:val="0"/>
        <w:kinsoku/>
        <w:wordWrap/>
        <w:overflowPunct w:val="0"/>
        <w:topLinePunct/>
        <w:bidi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（四）严格落实噪声污染防治措施。</w:t>
      </w:r>
      <w:r>
        <w:rPr>
          <w:rFonts w:hint="default" w:ascii="Times New Roman" w:hAnsi="Times New Roman" w:eastAsia="方正仿宋简体" w:cs="Times New Roman"/>
          <w:kern w:val="0"/>
          <w:sz w:val="32"/>
          <w:szCs w:val="32"/>
        </w:rPr>
        <w:t>该项目运营期产生的噪声主要为生产线设备、配套风机、泵机、空压机及其他生产辅助设备运行噪声。通过选用低噪音设备，优化选型，从源头上进行噪声防治；对风机采用消声弯头进行消声处理；在设备底座设置减振基础；加强设备的维护保养，使设备运转正常，避免设备故障引起的突发噪声等措施，确保厂界四周噪声排放满足《工业企业厂界环境噪声排放标准》（GB12348-2008）中2类区限值要求。</w:t>
      </w:r>
    </w:p>
    <w:p w14:paraId="38D4B032">
      <w:pPr>
        <w:keepNext w:val="0"/>
        <w:keepLines w:val="0"/>
        <w:pageBreakBefore w:val="0"/>
        <w:kinsoku/>
        <w:wordWrap/>
        <w:bidi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（五）严格落实固体废物分类处置措施。</w:t>
      </w:r>
      <w:r>
        <w:rPr>
          <w:rFonts w:hint="default" w:ascii="Times New Roman" w:hAnsi="Times New Roman" w:eastAsia="方正仿宋简体" w:cs="Times New Roman"/>
          <w:kern w:val="0"/>
          <w:sz w:val="32"/>
          <w:szCs w:val="32"/>
        </w:rPr>
        <w:t>该项目运营期固体废物主要为废活性炭、废催化剂、废机油及废机油桶、废含油劳保用品等危险废物；废边角料、水性漆漆渣、水幕机沉淀池底泥、废水性漆包装桶、废</w:t>
      </w:r>
      <w:r>
        <w:rPr>
          <w:rFonts w:hint="default" w:ascii="Times New Roman" w:hAnsi="Times New Roman" w:eastAsia="方正仿宋简体" w:cs="Times New Roman"/>
          <w:kern w:val="0"/>
          <w:sz w:val="32"/>
          <w:szCs w:val="32"/>
          <w:lang w:val="en-US" w:eastAsia="zh-CN"/>
        </w:rPr>
        <w:t>过滤</w:t>
      </w:r>
      <w:r>
        <w:rPr>
          <w:rFonts w:hint="default" w:ascii="Times New Roman" w:hAnsi="Times New Roman" w:eastAsia="方正仿宋简体" w:cs="Times New Roman"/>
          <w:kern w:val="0"/>
          <w:sz w:val="32"/>
          <w:szCs w:val="32"/>
        </w:rPr>
        <w:t>材料（废丝绵及过滤袋）等一般固体废物和生活垃圾。废活性炭、废催化剂、废机油及废机油桶、废含油抹布等劳保用品分类分区暂存于厂区危险废物贮存点内，定期委托有资质的单位处置，严格执行危险废物转移联单制度，按照《危险废物贮存污染控制标准》（GB18597-2023）的相关要求建设和管理危险废物贮存点。废边角料由设备自带储仓收集后定期外售，水性漆漆渣、</w:t>
      </w:r>
      <w:r>
        <w:rPr>
          <w:rFonts w:hint="default" w:ascii="Times New Roman" w:hAnsi="Times New Roman" w:eastAsia="方正仿宋简体" w:cs="Times New Roman"/>
          <w:kern w:val="0"/>
          <w:sz w:val="32"/>
          <w:szCs w:val="32"/>
          <w:lang w:eastAsia="zh-CN"/>
        </w:rPr>
        <w:t>水幕机沉淀池底泥</w:t>
      </w:r>
      <w:r>
        <w:rPr>
          <w:rFonts w:hint="default" w:ascii="Times New Roman" w:hAnsi="Times New Roman" w:eastAsia="方正仿宋简体" w:cs="Times New Roman"/>
          <w:kern w:val="0"/>
          <w:sz w:val="32"/>
          <w:szCs w:val="32"/>
        </w:rPr>
        <w:t>、废吸附材料和废水性漆桶暂存于一般固废暂存区，委托专业固废处置机构处置或回收利用；生活垃圾经垃圾桶收集后交由环卫部门定期清运。</w:t>
      </w:r>
    </w:p>
    <w:p w14:paraId="131F3E4F">
      <w:pPr>
        <w:keepNext w:val="0"/>
        <w:keepLines w:val="0"/>
        <w:pageBreakBefore w:val="0"/>
        <w:kinsoku/>
        <w:wordWrap/>
        <w:bidi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六</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严格落实地下水和土壤污染防治措施</w:t>
      </w:r>
      <w:r>
        <w:rPr>
          <w:rFonts w:hint="default" w:ascii="Times New Roman" w:hAnsi="Times New Roman" w:eastAsia="方正仿宋_GB2312" w:cs="Times New Roman"/>
          <w:kern w:val="0"/>
          <w:sz w:val="32"/>
          <w:szCs w:val="32"/>
        </w:rPr>
        <w:t>。</w:t>
      </w:r>
      <w:r>
        <w:rPr>
          <w:rFonts w:hint="default" w:ascii="Times New Roman" w:hAnsi="Times New Roman" w:eastAsia="方正仿宋简体" w:cs="Times New Roman"/>
          <w:kern w:val="0"/>
          <w:sz w:val="32"/>
          <w:szCs w:val="32"/>
        </w:rPr>
        <w:t>项目厂区划分为重点防渗区、一般防渗区、简单防渗区。根据不同的防渗区采取相应的防渗措施。危险废物贮存点为重点防渗区，防渗须满足《危险废物贮存污染控制标准》（GB18597-2023）的相关要求；一般防渗区为生产车间、化粪池，防渗等级为等效粘土防渗层Mb≥1.5米，K≤1×10</w:t>
      </w:r>
      <w:r>
        <w:rPr>
          <w:rFonts w:hint="default" w:ascii="Times New Roman" w:hAnsi="Times New Roman" w:eastAsia="方正仿宋简体" w:cs="Times New Roman"/>
          <w:kern w:val="0"/>
          <w:sz w:val="32"/>
          <w:szCs w:val="32"/>
          <w:vertAlign w:val="superscript"/>
        </w:rPr>
        <w:t>-7</w:t>
      </w:r>
      <w:r>
        <w:rPr>
          <w:rFonts w:hint="default" w:ascii="Times New Roman" w:hAnsi="Times New Roman" w:eastAsia="方正仿宋简体" w:cs="Times New Roman"/>
          <w:kern w:val="0"/>
          <w:sz w:val="32"/>
          <w:szCs w:val="32"/>
        </w:rPr>
        <w:t>厘米/秒；其余地面为简单防渗区，采取一般地面硬化的措施。</w:t>
      </w:r>
    </w:p>
    <w:p w14:paraId="48F39156">
      <w:pPr>
        <w:pStyle w:val="3"/>
        <w:keepNext w:val="0"/>
        <w:keepLines w:val="0"/>
        <w:pageBreakBefore w:val="0"/>
        <w:kinsoku/>
        <w:wordWrap/>
        <w:bidi w:val="0"/>
        <w:adjustRightInd w:val="0"/>
        <w:snapToGrid w:val="0"/>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（七）加强项目环境风险防范。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20FEA40C">
      <w:pPr>
        <w:keepNext w:val="0"/>
        <w:keepLines w:val="0"/>
        <w:pageBreakBefore w:val="0"/>
        <w:kinsoku/>
        <w:wordWrap/>
        <w:bidi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49A11E35">
      <w:pPr>
        <w:pStyle w:val="9"/>
        <w:keepNext w:val="0"/>
        <w:keepLines w:val="0"/>
        <w:pageBreakBefore w:val="0"/>
        <w:kinsoku/>
        <w:wordWrap/>
        <w:bidi w:val="0"/>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五、</w:t>
      </w:r>
      <w:r>
        <w:rPr>
          <w:rFonts w:hint="default" w:ascii="Times New Roman" w:hAnsi="Times New Roman" w:eastAsia="方正仿宋简体"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4B0BF0AD">
      <w:pPr>
        <w:pStyle w:val="9"/>
        <w:keepNext w:val="0"/>
        <w:keepLines w:val="0"/>
        <w:pageBreakBefore w:val="0"/>
        <w:kinsoku/>
        <w:wordWrap/>
        <w:bidi w:val="0"/>
        <w:spacing w:after="0" w:line="54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六、</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14:paraId="75AE3928">
      <w:pPr>
        <w:pStyle w:val="9"/>
        <w:keepNext w:val="0"/>
        <w:keepLines w:val="0"/>
        <w:pageBreakBefore w:val="0"/>
        <w:kinsoku/>
        <w:wordWrap/>
        <w:bidi w:val="0"/>
        <w:spacing w:after="0" w:line="54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七、</w:t>
      </w:r>
      <w:r>
        <w:rPr>
          <w:rFonts w:hint="default" w:ascii="Times New Roman" w:hAnsi="Times New Roman" w:eastAsia="方正仿宋简体" w:cs="Times New Roman"/>
          <w:kern w:val="0"/>
          <w:sz w:val="32"/>
          <w:szCs w:val="32"/>
        </w:rPr>
        <w:t>五团沙河镇</w:t>
      </w:r>
      <w:r>
        <w:rPr>
          <w:rFonts w:hint="default" w:ascii="Times New Roman" w:hAnsi="Times New Roman" w:eastAsia="方正仿宋简体" w:cs="Times New Roman"/>
          <w:kern w:val="0"/>
          <w:sz w:val="32"/>
          <w:szCs w:val="32"/>
          <w:lang w:val="zh-CN"/>
        </w:rPr>
        <w:t>积极</w:t>
      </w:r>
      <w:bookmarkStart w:id="0" w:name="_GoBack"/>
      <w:bookmarkEnd w:id="0"/>
      <w:r>
        <w:rPr>
          <w:rFonts w:hint="default" w:ascii="Times New Roman" w:hAnsi="Times New Roman" w:eastAsia="方正仿宋简体" w:cs="Times New Roman"/>
          <w:kern w:val="0"/>
          <w:sz w:val="32"/>
          <w:szCs w:val="32"/>
          <w:lang w:val="zh-CN"/>
        </w:rPr>
        <w:t>发挥政府职能，做好该项目环境保护管理工作，师市生态环境保护综合行政执法支队做好该项目的抽查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14:paraId="3BE7F9AF">
      <w:pPr>
        <w:pStyle w:val="9"/>
        <w:keepNext w:val="0"/>
        <w:keepLines w:val="0"/>
        <w:pageBreakBefore w:val="0"/>
        <w:kinsoku/>
        <w:wordWrap/>
        <w:bidi w:val="0"/>
        <w:spacing w:after="0" w:line="54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如你单位对本审批决定有不同意见，可在接到本决定书之日起六十日内向阿拉尔市人民政府申请行政复议，也可在六个月内依法向阿拉尔垦区人民法院起诉。</w:t>
      </w:r>
    </w:p>
    <w:p w14:paraId="54696728">
      <w:pPr>
        <w:keepNext w:val="0"/>
        <w:keepLines w:val="0"/>
        <w:pageBreakBefore w:val="0"/>
        <w:widowControl/>
        <w:kinsoku/>
        <w:wordWrap/>
        <w:bidi w:val="0"/>
        <w:spacing w:line="540" w:lineRule="exact"/>
        <w:rPr>
          <w:rFonts w:hint="default" w:ascii="Times New Roman" w:hAnsi="Times New Roman" w:eastAsia="方正仿宋简体" w:cs="Times New Roman"/>
          <w:kern w:val="0"/>
          <w:sz w:val="32"/>
          <w:szCs w:val="32"/>
        </w:rPr>
      </w:pPr>
    </w:p>
    <w:p w14:paraId="075FA872">
      <w:pPr>
        <w:keepNext w:val="0"/>
        <w:keepLines w:val="0"/>
        <w:pageBreakBefore w:val="0"/>
        <w:widowControl/>
        <w:kinsoku/>
        <w:wordWrap/>
        <w:bidi w:val="0"/>
        <w:spacing w:line="540" w:lineRule="exact"/>
        <w:rPr>
          <w:rFonts w:hint="default" w:ascii="Times New Roman" w:hAnsi="Times New Roman" w:eastAsia="方正仿宋简体" w:cs="Times New Roman"/>
          <w:kern w:val="0"/>
          <w:sz w:val="32"/>
          <w:szCs w:val="32"/>
        </w:rPr>
      </w:pPr>
    </w:p>
    <w:p w14:paraId="5AB9FCF7">
      <w:pPr>
        <w:keepNext w:val="0"/>
        <w:keepLines w:val="0"/>
        <w:pageBreakBefore w:val="0"/>
        <w:widowControl/>
        <w:kinsoku/>
        <w:wordWrap/>
        <w:bidi w:val="0"/>
        <w:spacing w:line="54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152DF586">
      <w:pPr>
        <w:keepNext w:val="0"/>
        <w:keepLines w:val="0"/>
        <w:pageBreakBefore w:val="0"/>
        <w:widowControl/>
        <w:kinsoku/>
        <w:wordWrap/>
        <w:bidi w:val="0"/>
        <w:spacing w:line="540" w:lineRule="exact"/>
        <w:ind w:firstLine="5600" w:firstLineChars="1750"/>
        <w:rPr>
          <w:rFonts w:hint="default" w:ascii="Times New Roman" w:hAnsi="Times New Roman" w:eastAsia="方正仿宋简体" w:cs="Times New Roman"/>
          <w:kern w:val="0"/>
          <w:sz w:val="32"/>
          <w:szCs w:val="32"/>
          <w:highlight w:val="yellow"/>
        </w:rPr>
      </w:pPr>
      <w:r>
        <w:rPr>
          <w:rFonts w:hint="default" w:ascii="Times New Roman" w:hAnsi="Times New Roman" w:eastAsia="方正仿宋简体" w:cs="Times New Roman"/>
          <w:kern w:val="0"/>
          <w:sz w:val="32"/>
          <w:szCs w:val="32"/>
        </w:rPr>
        <w:t>2026年7月</w:t>
      </w:r>
      <w:r>
        <w:rPr>
          <w:rFonts w:hint="default" w:ascii="Times New Roman" w:hAnsi="Times New Roman" w:eastAsia="方正仿宋简体" w:cs="Times New Roman"/>
          <w:kern w:val="0"/>
          <w:sz w:val="32"/>
          <w:szCs w:val="32"/>
          <w:lang w:val="en-US" w:eastAsia="zh-CN"/>
        </w:rPr>
        <w:t>24</w:t>
      </w:r>
      <w:r>
        <w:rPr>
          <w:rFonts w:hint="default" w:ascii="Times New Roman" w:hAnsi="Times New Roman" w:eastAsia="方正仿宋简体" w:cs="Times New Roman"/>
          <w:kern w:val="0"/>
          <w:sz w:val="32"/>
          <w:szCs w:val="32"/>
        </w:rPr>
        <w:t>日</w:t>
      </w:r>
    </w:p>
    <w:p w14:paraId="555238ED">
      <w:pPr>
        <w:keepNext w:val="0"/>
        <w:keepLines w:val="0"/>
        <w:pageBreakBefore w:val="0"/>
        <w:widowControl/>
        <w:kinsoku/>
        <w:wordWrap/>
        <w:bidi w:val="0"/>
        <w:spacing w:line="540" w:lineRule="exact"/>
        <w:ind w:firstLine="5600" w:firstLineChars="1750"/>
        <w:rPr>
          <w:rFonts w:hint="default" w:ascii="Times New Roman" w:hAnsi="Times New Roman" w:eastAsia="方正仿宋_GB2312" w:cs="Times New Roman"/>
          <w:kern w:val="0"/>
          <w:sz w:val="32"/>
          <w:szCs w:val="32"/>
          <w:highlight w:val="yellow"/>
        </w:rPr>
      </w:pPr>
    </w:p>
    <w:p w14:paraId="7CFD0F3E">
      <w:pPr>
        <w:keepNext w:val="0"/>
        <w:keepLines w:val="0"/>
        <w:pageBreakBefore w:val="0"/>
        <w:widowControl/>
        <w:kinsoku/>
        <w:wordWrap/>
        <w:bidi w:val="0"/>
        <w:spacing w:line="540" w:lineRule="exact"/>
        <w:ind w:firstLine="5600" w:firstLineChars="1750"/>
        <w:rPr>
          <w:rFonts w:hint="default" w:ascii="Times New Roman" w:hAnsi="Times New Roman" w:eastAsia="方正仿宋_GB2312" w:cs="Times New Roman"/>
          <w:kern w:val="0"/>
          <w:sz w:val="32"/>
          <w:szCs w:val="32"/>
          <w:highlight w:val="yellow"/>
        </w:rPr>
      </w:pPr>
    </w:p>
    <w:p w14:paraId="387E295E">
      <w:pPr>
        <w:keepNext w:val="0"/>
        <w:keepLines w:val="0"/>
        <w:pageBreakBefore w:val="0"/>
        <w:widowControl/>
        <w:kinsoku/>
        <w:wordWrap/>
        <w:bidi w:val="0"/>
        <w:spacing w:line="540" w:lineRule="exact"/>
        <w:ind w:firstLine="5600" w:firstLineChars="1750"/>
        <w:rPr>
          <w:rFonts w:hint="default" w:ascii="Times New Roman" w:hAnsi="Times New Roman" w:eastAsia="方正仿宋_GB2312" w:cs="Times New Roman"/>
          <w:kern w:val="0"/>
          <w:sz w:val="32"/>
          <w:szCs w:val="32"/>
          <w:highlight w:val="yellow"/>
        </w:rPr>
      </w:pPr>
    </w:p>
    <w:p w14:paraId="6C0BCCE2">
      <w:pPr>
        <w:pStyle w:val="5"/>
        <w:keepNext w:val="0"/>
        <w:keepLines w:val="0"/>
        <w:pageBreakBefore w:val="0"/>
        <w:kinsoku/>
        <w:wordWrap/>
        <w:bidi w:val="0"/>
        <w:spacing w:after="0" w:line="540" w:lineRule="exact"/>
        <w:rPr>
          <w:rFonts w:hint="default" w:ascii="Times New Roman" w:hAnsi="Times New Roman" w:eastAsia="方正仿宋_GB2312" w:cs="Times New Roman"/>
          <w:sz w:val="32"/>
          <w:szCs w:val="32"/>
          <w:highlight w:val="yellow"/>
        </w:rPr>
      </w:pPr>
    </w:p>
    <w:p w14:paraId="2523719C">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4905E3BA">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43904BFE">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6A23EF64">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271E7B13">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775BD5DF">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7F46F502">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3CB106EA">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3D263335">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132B1F60">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35770B77">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085D0138">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548D13D5">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131BEA05">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1750FAF5">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2736441A">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1FA4204D">
      <w:pPr>
        <w:keepNext w:val="0"/>
        <w:keepLines w:val="0"/>
        <w:pageBreakBefore w:val="0"/>
        <w:widowControl/>
        <w:kinsoku/>
        <w:wordWrap/>
        <w:bidi w:val="0"/>
        <w:spacing w:line="540" w:lineRule="exact"/>
        <w:rPr>
          <w:rFonts w:hint="default" w:ascii="Times New Roman" w:hAnsi="Times New Roman" w:eastAsia="方正仿宋_GB2312" w:cs="Times New Roman"/>
          <w:kern w:val="0"/>
          <w:sz w:val="32"/>
          <w:szCs w:val="32"/>
          <w:highlight w:val="yellow"/>
        </w:rPr>
      </w:pPr>
    </w:p>
    <w:p w14:paraId="6C758FCB">
      <w:pPr>
        <w:pStyle w:val="5"/>
        <w:keepNext w:val="0"/>
        <w:keepLines w:val="0"/>
        <w:pageBreakBefore w:val="0"/>
        <w:kinsoku/>
        <w:wordWrap/>
        <w:bidi w:val="0"/>
        <w:spacing w:after="0" w:line="540" w:lineRule="exact"/>
        <w:rPr>
          <w:rFonts w:hint="default" w:ascii="Times New Roman" w:hAnsi="Times New Roman" w:cs="Times New Roman"/>
        </w:rPr>
      </w:pPr>
    </w:p>
    <w:p w14:paraId="1298DF13">
      <w:pPr>
        <w:keepNext w:val="0"/>
        <w:keepLines w:val="0"/>
        <w:pageBreakBefore w:val="0"/>
        <w:kinsoku/>
        <w:wordWrap/>
        <w:topLinePunct/>
        <w:bidi w:val="0"/>
        <w:adjustRightInd w:val="0"/>
        <w:snapToGrid w:val="0"/>
        <w:spacing w:line="540" w:lineRule="exact"/>
        <w:rPr>
          <w:rFonts w:hint="default" w:ascii="Times New Roman" w:hAnsi="Times New Roman" w:eastAsia="方正仿宋简体" w:cs="Times New Roman"/>
          <w:color w:val="000000"/>
          <w:spacing w:val="-28"/>
          <w:sz w:val="28"/>
          <w:szCs w:val="28"/>
        </w:rPr>
      </w:pPr>
      <w:r>
        <w:rPr>
          <w:rFonts w:hint="default" w:ascii="Times New Roman" w:hAnsi="Times New Roman" w:eastAsia="方正仿宋简体" w:cs="Times New Roman"/>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color w:val="000000"/>
          <w:spacing w:val="-28"/>
          <w:sz w:val="28"/>
          <w:szCs w:val="28"/>
        </w:rPr>
        <w:t>抄送：五团沙河镇</w:t>
      </w:r>
      <w:r>
        <w:rPr>
          <w:rFonts w:hint="default" w:ascii="Times New Roman" w:hAnsi="Times New Roman" w:eastAsia="方正仿宋简体" w:cs="Times New Roman"/>
          <w:color w:val="000000"/>
          <w:spacing w:val="-28"/>
          <w:sz w:val="24"/>
        </w:rPr>
        <w:t>，</w:t>
      </w:r>
      <w:r>
        <w:rPr>
          <w:rFonts w:hint="default" w:ascii="Times New Roman" w:hAnsi="Times New Roman" w:eastAsia="方正仿宋简体" w:cs="Times New Roman"/>
          <w:color w:val="000000"/>
          <w:spacing w:val="-28"/>
          <w:sz w:val="28"/>
          <w:szCs w:val="28"/>
        </w:rPr>
        <w:t>生态环境保护综合行政执法支队，乌鲁木齐亨源祥通工程技术咨询</w:t>
      </w:r>
    </w:p>
    <w:p w14:paraId="46913B7F">
      <w:pPr>
        <w:keepNext w:val="0"/>
        <w:keepLines w:val="0"/>
        <w:pageBreakBefore w:val="0"/>
        <w:kinsoku/>
        <w:wordWrap/>
        <w:topLinePunct/>
        <w:bidi w:val="0"/>
        <w:adjustRightInd w:val="0"/>
        <w:snapToGrid w:val="0"/>
        <w:spacing w:line="540" w:lineRule="exact"/>
        <w:ind w:firstLine="672" w:firstLineChars="300"/>
        <w:rPr>
          <w:rFonts w:hint="default" w:ascii="Times New Roman" w:hAnsi="Times New Roman" w:eastAsia="方正仿宋简体" w:cs="Times New Roman"/>
          <w:color w:val="000000"/>
          <w:spacing w:val="-28"/>
          <w:sz w:val="28"/>
          <w:szCs w:val="28"/>
        </w:rPr>
      </w:pPr>
      <w:r>
        <w:rPr>
          <w:rFonts w:hint="default" w:ascii="Times New Roman" w:hAnsi="Times New Roman" w:eastAsia="方正仿宋简体" w:cs="Times New Roman"/>
          <w:color w:val="000000"/>
          <w:spacing w:val="-28"/>
          <w:sz w:val="28"/>
          <w:szCs w:val="28"/>
        </w:rPr>
        <w:t>有限公司</w:t>
      </w:r>
    </w:p>
    <w:p w14:paraId="286C6D64">
      <w:pPr>
        <w:keepNext w:val="0"/>
        <w:keepLines w:val="0"/>
        <w:pageBreakBefore w:val="0"/>
        <w:kinsoku/>
        <w:wordWrap/>
        <w:bidi w:val="0"/>
        <w:spacing w:line="540" w:lineRule="exact"/>
        <w:rPr>
          <w:rFonts w:hint="default" w:ascii="Times New Roman" w:hAnsi="Times New Roman" w:eastAsia="方正仿宋简体" w:cs="Times New Roman"/>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 xml:space="preserve">第一师阿拉尔市生态环境局                 </w:t>
      </w:r>
      <w:r>
        <w:rPr>
          <w:rFonts w:hint="default" w:ascii="Times New Roman" w:hAnsi="Times New Roman" w:cs="Times New Roman"/>
          <w:sz w:val="28"/>
          <w:szCs w:val="28"/>
        </w:rPr>
        <w:t xml:space="preserve">  2026</w:t>
      </w:r>
      <w:r>
        <w:rPr>
          <w:rFonts w:hint="default" w:ascii="Times New Roman" w:hAnsi="Times New Roman" w:eastAsia="方正仿宋简体" w:cs="Times New Roman"/>
          <w:sz w:val="28"/>
          <w:szCs w:val="28"/>
        </w:rPr>
        <w:t>年</w:t>
      </w:r>
      <w:r>
        <w:rPr>
          <w:rFonts w:hint="default" w:ascii="Times New Roman" w:hAnsi="Times New Roman" w:cs="Times New Roman"/>
          <w:sz w:val="28"/>
          <w:szCs w:val="28"/>
        </w:rPr>
        <w:t>7</w:t>
      </w:r>
      <w:r>
        <w:rPr>
          <w:rFonts w:hint="default" w:ascii="Times New Roman" w:hAnsi="Times New Roman" w:eastAsia="方正仿宋简体" w:cs="Times New Roman"/>
          <w:sz w:val="28"/>
          <w:szCs w:val="28"/>
        </w:rPr>
        <w:t>月</w:t>
      </w:r>
      <w:r>
        <w:rPr>
          <w:rFonts w:hint="eastAsia" w:eastAsia="方正仿宋简体" w:cs="Times New Roman"/>
          <w:sz w:val="28"/>
          <w:szCs w:val="28"/>
          <w:lang w:val="en-US" w:eastAsia="zh-CN"/>
        </w:rPr>
        <w:t>31</w:t>
      </w:r>
      <w:r>
        <w:rPr>
          <w:rFonts w:hint="default" w:ascii="Times New Roman" w:hAnsi="Times New Roman" w:eastAsia="方正仿宋简体"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826C0A46-20AE-4B22-9F81-DE1157A5887E}"/>
  </w:font>
  <w:font w:name="方正仿宋_GB2312">
    <w:panose1 w:val="02000000000000000000"/>
    <w:charset w:val="86"/>
    <w:family w:val="auto"/>
    <w:pitch w:val="default"/>
    <w:sig w:usb0="A00002BF" w:usb1="184F6CFA" w:usb2="00000012" w:usb3="00000000" w:csb0="00040001" w:csb1="00000000"/>
    <w:embedRegular r:id="rId2" w:fontKey="{1F799A97-50E6-4623-9A54-316DC7022176}"/>
  </w:font>
  <w:font w:name="方正小标宋简体">
    <w:panose1 w:val="02000000000000000000"/>
    <w:charset w:val="86"/>
    <w:family w:val="auto"/>
    <w:pitch w:val="default"/>
    <w:sig w:usb0="00000001" w:usb1="08000000" w:usb2="00000000" w:usb3="00000000" w:csb0="00040000" w:csb1="00000000"/>
    <w:embedRegular r:id="rId3" w:fontKey="{CC795206-A7DF-492E-9F1A-E6D0706EE4E9}"/>
  </w:font>
  <w:font w:name="方正仿宋简体">
    <w:panose1 w:val="02000000000000000000"/>
    <w:charset w:val="86"/>
    <w:family w:val="auto"/>
    <w:pitch w:val="default"/>
    <w:sig w:usb0="A00002BF" w:usb1="184F6CFA" w:usb2="00000012" w:usb3="00000000" w:csb0="00040001" w:csb1="00000000"/>
    <w:embedRegular r:id="rId4" w:fontKey="{25C78216-E49B-4711-BBA3-52C41B086AAC}"/>
  </w:font>
  <w:font w:name="仿宋">
    <w:panose1 w:val="02010609060101010101"/>
    <w:charset w:val="86"/>
    <w:family w:val="modern"/>
    <w:pitch w:val="default"/>
    <w:sig w:usb0="800002BF" w:usb1="38CF7CFA" w:usb2="00000016" w:usb3="00000000" w:csb0="00040001" w:csb1="00000000"/>
    <w:embedRegular r:id="rId5" w:fontKey="{480B2ADE-B7BA-4124-955C-877F68F4D119}"/>
  </w:font>
  <w:font w:name="方正黑体简体">
    <w:panose1 w:val="02000000000000000000"/>
    <w:charset w:val="86"/>
    <w:family w:val="auto"/>
    <w:pitch w:val="default"/>
    <w:sig w:usb0="A00002BF" w:usb1="184F6CFA" w:usb2="00000012" w:usb3="00000000" w:csb0="00040001" w:csb1="00000000"/>
    <w:embedRegular r:id="rId6" w:fontKey="{A9927744-F48C-436E-819E-AF8FB1DDCA46}"/>
  </w:font>
  <w:font w:name="方正楷体简体">
    <w:panose1 w:val="02000000000000000000"/>
    <w:charset w:val="86"/>
    <w:family w:val="auto"/>
    <w:pitch w:val="default"/>
    <w:sig w:usb0="A00002BF" w:usb1="184F6CFA" w:usb2="00000012" w:usb3="00000000" w:csb0="00040001" w:csb1="00000000"/>
    <w:embedRegular r:id="rId7" w:fontKey="{4C21E252-B229-4A10-8CB0-A26D0121B6F9}"/>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9C641">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43AB19">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4543AB19">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89A33">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7D102"/>
    <w:multiLevelType w:val="singleLevel"/>
    <w:tmpl w:val="69F7D102"/>
    <w:lvl w:ilvl="0" w:tentative="0">
      <w:start w:val="1"/>
      <w:numFmt w:val="decimal"/>
      <w:pStyle w:val="1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577F7"/>
    <w:rsid w:val="000A6033"/>
    <w:rsid w:val="00317602"/>
    <w:rsid w:val="00560C47"/>
    <w:rsid w:val="008A3AF5"/>
    <w:rsid w:val="00BB0F48"/>
    <w:rsid w:val="00EE0F6D"/>
    <w:rsid w:val="010158D6"/>
    <w:rsid w:val="01D54B7E"/>
    <w:rsid w:val="02052A74"/>
    <w:rsid w:val="02CF517F"/>
    <w:rsid w:val="02DA7847"/>
    <w:rsid w:val="07B60F22"/>
    <w:rsid w:val="09577D60"/>
    <w:rsid w:val="098146B3"/>
    <w:rsid w:val="09EE105B"/>
    <w:rsid w:val="0A7C794A"/>
    <w:rsid w:val="0C8A53CB"/>
    <w:rsid w:val="0E5C209B"/>
    <w:rsid w:val="13BF1F8A"/>
    <w:rsid w:val="13F50A51"/>
    <w:rsid w:val="18923D42"/>
    <w:rsid w:val="18B13BE0"/>
    <w:rsid w:val="18CE20EA"/>
    <w:rsid w:val="1A2A24BA"/>
    <w:rsid w:val="1A797E6C"/>
    <w:rsid w:val="1EC76CEF"/>
    <w:rsid w:val="204151A5"/>
    <w:rsid w:val="20654122"/>
    <w:rsid w:val="21633681"/>
    <w:rsid w:val="24AE2000"/>
    <w:rsid w:val="25272CFC"/>
    <w:rsid w:val="262F4CC7"/>
    <w:rsid w:val="27FB464B"/>
    <w:rsid w:val="28DB65A4"/>
    <w:rsid w:val="2CF565EF"/>
    <w:rsid w:val="2E4407BC"/>
    <w:rsid w:val="2E563679"/>
    <w:rsid w:val="2F422BC3"/>
    <w:rsid w:val="2F505B14"/>
    <w:rsid w:val="2F657D9E"/>
    <w:rsid w:val="30A035BB"/>
    <w:rsid w:val="328330A2"/>
    <w:rsid w:val="33CC58FE"/>
    <w:rsid w:val="33E636E2"/>
    <w:rsid w:val="37CF27BE"/>
    <w:rsid w:val="381D1CB1"/>
    <w:rsid w:val="38351DA3"/>
    <w:rsid w:val="3A7E380A"/>
    <w:rsid w:val="3B132C17"/>
    <w:rsid w:val="3B506C62"/>
    <w:rsid w:val="3DF3675E"/>
    <w:rsid w:val="48084A9C"/>
    <w:rsid w:val="49F02B32"/>
    <w:rsid w:val="4AF13073"/>
    <w:rsid w:val="4B8F0F1D"/>
    <w:rsid w:val="4C7A2882"/>
    <w:rsid w:val="4C8362DC"/>
    <w:rsid w:val="50522075"/>
    <w:rsid w:val="51956A7B"/>
    <w:rsid w:val="53D6683C"/>
    <w:rsid w:val="53D96FF6"/>
    <w:rsid w:val="53F35F85"/>
    <w:rsid w:val="547F78C3"/>
    <w:rsid w:val="563620CF"/>
    <w:rsid w:val="56463710"/>
    <w:rsid w:val="570316A4"/>
    <w:rsid w:val="57FB18AC"/>
    <w:rsid w:val="5B1A029B"/>
    <w:rsid w:val="5B3873D9"/>
    <w:rsid w:val="5BE21CA2"/>
    <w:rsid w:val="5E6D5D9C"/>
    <w:rsid w:val="5EB73272"/>
    <w:rsid w:val="60CE1E21"/>
    <w:rsid w:val="612B3202"/>
    <w:rsid w:val="61B06987"/>
    <w:rsid w:val="62250672"/>
    <w:rsid w:val="6727066C"/>
    <w:rsid w:val="6859222C"/>
    <w:rsid w:val="6ADB5079"/>
    <w:rsid w:val="6C281C5A"/>
    <w:rsid w:val="6C9577F7"/>
    <w:rsid w:val="6DA41A46"/>
    <w:rsid w:val="707165B5"/>
    <w:rsid w:val="720C27E4"/>
    <w:rsid w:val="72221446"/>
    <w:rsid w:val="72671BC0"/>
    <w:rsid w:val="75CB690A"/>
    <w:rsid w:val="768371E5"/>
    <w:rsid w:val="796344E6"/>
    <w:rsid w:val="7BDB726D"/>
    <w:rsid w:val="7CFE6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spacing w:line="520" w:lineRule="exact"/>
      <w:ind w:firstLine="624"/>
    </w:pPr>
    <w:rPr>
      <w:sz w:val="28"/>
      <w:szCs w:val="20"/>
    </w:rPr>
  </w:style>
  <w:style w:type="paragraph" w:styleId="4">
    <w:name w:val="annotation text"/>
    <w:basedOn w:val="1"/>
    <w:qFormat/>
    <w:uiPriority w:val="0"/>
    <w:pPr>
      <w:jc w:val="left"/>
    </w:pPr>
  </w:style>
  <w:style w:type="paragraph" w:styleId="5">
    <w:name w:val="Body Text"/>
    <w:basedOn w:val="1"/>
    <w:next w:val="6"/>
    <w:qFormat/>
    <w:uiPriority w:val="0"/>
    <w:pPr>
      <w:spacing w:after="120"/>
    </w:pPr>
    <w:rPr>
      <w:kern w:val="0"/>
      <w:sz w:val="20"/>
    </w:rPr>
  </w:style>
  <w:style w:type="paragraph" w:customStyle="1" w:styleId="6">
    <w:name w:val="Default"/>
    <w:basedOn w:val="7"/>
    <w:next w:val="1"/>
    <w:qFormat/>
    <w:uiPriority w:val="0"/>
    <w:pPr>
      <w:tabs>
        <w:tab w:val="left" w:pos="2760"/>
      </w:tabs>
      <w:autoSpaceDE w:val="0"/>
      <w:autoSpaceDN w:val="0"/>
    </w:pPr>
    <w:rPr>
      <w:rFonts w:ascii="Times New Roman" w:hAnsi="Times New Roman"/>
      <w:color w:val="000000"/>
      <w:sz w:val="24"/>
    </w:rPr>
  </w:style>
  <w:style w:type="paragraph" w:customStyle="1" w:styleId="7">
    <w:name w:val="纯文本1"/>
    <w:basedOn w:val="1"/>
    <w:qFormat/>
    <w:uiPriority w:val="0"/>
    <w:pPr>
      <w:tabs>
        <w:tab w:val="left" w:pos="2760"/>
      </w:tabs>
      <w:adjustRightInd w:val="0"/>
    </w:pPr>
    <w:rPr>
      <w:rFonts w:ascii="宋体" w:hAnsi="Courier New"/>
    </w:rPr>
  </w:style>
  <w:style w:type="paragraph" w:styleId="8">
    <w:name w:val="Body Text Indent"/>
    <w:basedOn w:val="1"/>
    <w:next w:val="9"/>
    <w:qFormat/>
    <w:uiPriority w:val="0"/>
    <w:pPr>
      <w:spacing w:after="120"/>
      <w:ind w:left="420" w:leftChars="200"/>
    </w:pPr>
  </w:style>
  <w:style w:type="paragraph" w:styleId="9">
    <w:name w:val="Body Text First Indent 2"/>
    <w:basedOn w:val="8"/>
    <w:next w:val="1"/>
    <w:qFormat/>
    <w:uiPriority w:val="0"/>
    <w:pPr>
      <w:ind w:firstLine="420" w:firstLineChars="200"/>
    </w:pPr>
  </w:style>
  <w:style w:type="paragraph" w:styleId="10">
    <w:name w:val="Plain Text"/>
    <w:basedOn w:val="1"/>
    <w:next w:val="11"/>
    <w:qFormat/>
    <w:uiPriority w:val="0"/>
    <w:pPr>
      <w:spacing w:line="500" w:lineRule="exact"/>
    </w:pPr>
    <w:rPr>
      <w:rFonts w:ascii="宋体" w:hAnsi="Courier New"/>
      <w:sz w:val="28"/>
      <w:szCs w:val="21"/>
    </w:rPr>
  </w:style>
  <w:style w:type="paragraph" w:styleId="11">
    <w:name w:val="List Number 5"/>
    <w:basedOn w:val="1"/>
    <w:qFormat/>
    <w:uiPriority w:val="0"/>
    <w:pPr>
      <w:numPr>
        <w:ilvl w:val="0"/>
        <w:numId w:val="1"/>
      </w:numPr>
    </w:pPr>
  </w:style>
  <w:style w:type="paragraph" w:styleId="12">
    <w:name w:val="footer"/>
    <w:basedOn w:val="1"/>
    <w:qFormat/>
    <w:uiPriority w:val="0"/>
    <w:pPr>
      <w:tabs>
        <w:tab w:val="center" w:pos="4153"/>
        <w:tab w:val="right" w:pos="8306"/>
      </w:tabs>
      <w:snapToGrid w:val="0"/>
      <w:jc w:val="left"/>
    </w:pPr>
    <w:rPr>
      <w:sz w:val="28"/>
      <w:szCs w:val="18"/>
    </w:rPr>
  </w:style>
  <w:style w:type="paragraph" w:styleId="1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1"/>
  </w:style>
  <w:style w:type="paragraph" w:styleId="15">
    <w:name w:val="Body Text 2"/>
    <w:basedOn w:val="1"/>
    <w:unhideWhenUsed/>
    <w:qFormat/>
    <w:uiPriority w:val="99"/>
    <w:pPr>
      <w:spacing w:after="120" w:line="480" w:lineRule="auto"/>
    </w:pPr>
  </w:style>
  <w:style w:type="character" w:styleId="18">
    <w:name w:val="Strong"/>
    <w:basedOn w:val="1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55228fc3-5822-4e4a-82da-c7b4a5a79c32</errorID>
      <errorWord> </errorWord>
      <group>L1_Word</group>
      <groupName>字词问题</groupName>
      <ability>L2_Typo</ability>
      <abilityName>字词错误</abilityName>
      <candidateList>
        <item>°</item>
      </candidateList>
      <explain/>
      <paraID>7CB18144</paraID>
      <start>77</start>
      <end>78</end>
      <status>modified</status>
      <modifiedWord> </modifiedWord>
      <trackRevisions>false</trackRevisions>
    </reviewItem>
    <reviewItem>
      <errorID>d3fee6a7-65ad-4dbb-b310-b15ccb6a6866</errorID>
      <errorWord> </errorWord>
      <group>L1_Word</group>
      <groupName>字词问题</groupName>
      <ability>L2_Typo</ability>
      <abilityName>字词错误</abilityName>
      <candidateList>
        <item>°</item>
      </candidateList>
      <explain/>
      <paraID>7CB18144</paraID>
      <start>93</start>
      <end>94</end>
      <status>modified</status>
      <modifiedWord> </modifiedWord>
      <trackRevisions>false</trackRevisions>
    </reviewItem>
    <reviewItem>
      <errorID>b3beaab9-aa27-49c2-a453-e053dbab566b</errorID>
      <errorWord>《</errorWord>
      <group>L1_Grammar</group>
      <groupName>语法问题</groupName>
      <ability>L2_Grammar</ability>
      <abilityName>语法错误</abilityName>
      <candidateList>
        <item>满足《</item>
      </candidateList>
      <explain/>
      <paraID>20D10924</paraID>
      <start>116</start>
      <end>117</end>
      <status>ignored</status>
      <modifiedWord/>
      <trackRevisions>false</trackRevisions>
    </reviewItem>
    <reviewItem>
      <errorID>cdf0a440-6ff8-4236-873b-657f33b599bd</errorID>
      <errorWord>废含油抹布等劳保用品</errorWord>
      <group>L1_Other</group>
      <groupName>其他问题</groupName>
      <ability>L2_Consistency</ability>
      <abilityName>一致性检查</abilityName>
      <candidateList>
        <item>废含油劳保用品</item>
      </candidateList>
      <explain>实体一致性，同一类固体废物名称前后表述不一致，前文表述为“废含油劳保用品”，此处应统一</explain>
      <paraID>38D4B032</paraID>
      <start>137</start>
      <end>147</end>
      <status>ignored</status>
      <modifiedWord/>
      <trackRevisions>false</trackRevisions>
    </reviewItem>
    <reviewItem>
      <errorID>98e1752b-7a21-468d-b76d-62b90b1f20d9</errorID>
      <errorWord>水幕机沉淀底泥</errorWord>
      <group>L1_Other</group>
      <groupName>其他问题</groupName>
      <ability>L2_Consistency</ability>
      <abilityName>一致性检查</abilityName>
      <candidateList>
        <item>水幕机沉淀池底泥</item>
      </candidateList>
      <explain>实体一致性：该表述前后实体名称不一致，前文统一使用“水幕机沉淀池底泥”，此处表述不一致，应统一</explain>
      <paraID>38D4B032</paraID>
      <start>266</start>
      <end>274</end>
      <status>modified</status>
      <modifiedWord>水幕机沉淀池底泥</modifiedWord>
      <trackRevisions>false</trackRevisions>
    </reviewItem>
    <reviewItem>
      <errorID>63f522df-07cb-4453-b39d-23ab506344ad</errorID>
      <errorWord>废吸附材料</errorWord>
      <group>L1_Other</group>
      <groupName>其他问题</groupName>
      <ability>L2_Consistency</ability>
      <abilityName>一致性检查</abilityName>
      <candidateList>
        <item>废过滤材料</item>
      </candidateList>
      <explain>术语一致性：该表述前后专业术语不一致，前文统一使用“废过滤材料（废丝绵及过滤袋）”，此处表述不一致，应统一</explain>
      <paraID>38D4B032</paraID>
      <start>275</start>
      <end>280</end>
      <status>ignored</status>
      <modifiedWord/>
      <trackRevisions>false</trackRevisions>
    </reviewItem>
    <reviewItem>
      <errorID>e0351782-ccdd-4bc6-aa14-469eb8cb0290</errorID>
      <errorWord>合同招标文件</errorWord>
      <group>L1_Grammar</group>
      <groupName>语法问题</groupName>
      <ability>L2_Grammar</ability>
      <abilityName>语法错误</abilityName>
      <candidateList>
        <item>合同</item>
      </candidateList>
      <explain/>
      <paraID>20FEA40C</paraID>
      <start>64</start>
      <end>70</end>
      <status>ignored</status>
      <modifiedWord/>
      <trackRevisions>false</trackRevisions>
    </reviewItem>
    <reviewItem>
      <errorID>ee6221f1-8dce-4b2a-9a13-05e4910b76d6</errorID>
      <errorWord> </errorWord>
      <group>L1_Punc</group>
      <groupName>标点问题</groupName>
      <ability>L2_Punc_CN</ability>
      <abilityName>标点符号问题</abilityName>
      <candidateList>
        <item/>
      </candidateList>
      <explain>此处空格冗余，建议删除。</explain>
      <paraID>1298DF13</paraID>
      <start>9</start>
      <end>9</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f0f592-ba6d-44d7-9c59-365338230e9a}">
  <ds:schemaRefs/>
</ds:datastoreItem>
</file>

<file path=docProps/app.xml><?xml version="1.0" encoding="utf-8"?>
<Properties xmlns="http://schemas.openxmlformats.org/officeDocument/2006/extended-properties" xmlns:vt="http://schemas.openxmlformats.org/officeDocument/2006/docPropsVTypes">
  <Template>Normal</Template>
  <Pages>6</Pages>
  <Words>2468</Words>
  <Characters>2628</Characters>
  <Lines>19</Lines>
  <Paragraphs>5</Paragraphs>
  <TotalTime>7</TotalTime>
  <ScaleCrop>false</ScaleCrop>
  <LinksUpToDate>false</LinksUpToDate>
  <CharactersWithSpaces>2647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2024-12-11T05:42:00Z</dcterms:created>
  <dc:creator></dc:creator>
  <cp:lastModifiedBy></cp:lastModifiedBy>
  <cp:lastPrinted>2026-07-31T04:39:00Z</cp:lastPrinted>
  <dcterms:modified xsi:type="dcterms:W3CDTF">2026-07-31T08:46:31Z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3223D3B5652749C999BF7EA64873565C_13</vt:lpwstr>
  </property>
  <property fmtid="{D5CDD505-2E9C-101B-9397-08002B2CF9AE}" pid="4" name="KSOTemplateDocerSaveRecord">
    <vt:lpwstr>eyJoZGlkIjoiNzkyN2Q3NTJkYzdmNjE3ZGJjOWNiYzc5NjVkOTk4NGIiLCJ1c2VySWQiOiI2NDkyMTQ2MzcifQ==</vt:lpwstr>
  </property>
</Properties>
</file>