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8DEDE">
      <w:pPr>
        <w:keepNext w:val="0"/>
        <w:keepLines w:val="0"/>
        <w:pageBreakBefore w:val="0"/>
        <w:widowControl w:val="0"/>
        <w:kinsoku/>
        <w:wordWrap/>
        <w:overflowPunct w:val="0"/>
        <w:topLinePunct w:val="0"/>
        <w:autoSpaceDE/>
        <w:autoSpaceDN/>
        <w:bidi w:val="0"/>
        <w:adjustRightInd w:val="0"/>
        <w:snapToGrid w:val="0"/>
        <w:spacing w:line="560" w:lineRule="exact"/>
        <w:ind w:firstLine="436" w:firstLineChars="100"/>
        <w:jc w:val="both"/>
        <w:outlineLvl w:val="0"/>
        <w:rPr>
          <w:rFonts w:hint="eastAsia" w:ascii="Times New Roman" w:hAnsi="Times New Roman" w:eastAsia="方正小标宋简体" w:cs="方正小标宋简体"/>
          <w:snapToGrid w:val="0"/>
          <w:kern w:val="0"/>
          <w:sz w:val="44"/>
          <w:szCs w:val="44"/>
        </w:rPr>
      </w:pPr>
      <w:bookmarkStart w:id="0" w:name="_Toc25561"/>
      <w:r>
        <w:rPr>
          <w:rFonts w:hint="eastAsia" w:ascii="Times New Roman" w:hAnsi="Times New Roman" w:eastAsia="方正小标宋简体" w:cs="方正小标宋简体"/>
          <w:snapToGrid w:val="0"/>
          <w:kern w:val="0"/>
          <w:sz w:val="44"/>
          <w:szCs w:val="44"/>
        </w:rPr>
        <w:t>第一师阿拉尔市城市道路</w:t>
      </w:r>
      <w:r>
        <w:rPr>
          <w:rFonts w:hint="eastAsia" w:eastAsia="方正小标宋简体" w:cs="方正小标宋简体"/>
          <w:snapToGrid w:val="0"/>
          <w:kern w:val="0"/>
          <w:sz w:val="44"/>
          <w:szCs w:val="44"/>
          <w:lang w:val="en-US" w:eastAsia="zh-CN"/>
        </w:rPr>
        <w:t>和绿地</w:t>
      </w:r>
      <w:r>
        <w:rPr>
          <w:rFonts w:hint="eastAsia" w:ascii="Times New Roman" w:hAnsi="Times New Roman" w:eastAsia="方正小标宋简体" w:cs="方正小标宋简体"/>
          <w:snapToGrid w:val="0"/>
          <w:kern w:val="0"/>
          <w:sz w:val="44"/>
          <w:szCs w:val="44"/>
        </w:rPr>
        <w:t>占用挖掘</w:t>
      </w:r>
      <w:bookmarkEnd w:id="0"/>
    </w:p>
    <w:p w14:paraId="5C1FF3BD">
      <w:pPr>
        <w:keepNext w:val="0"/>
        <w:keepLines w:val="0"/>
        <w:pageBreakBefore w:val="0"/>
        <w:widowControl w:val="0"/>
        <w:kinsoku/>
        <w:wordWrap/>
        <w:overflowPunct w:val="0"/>
        <w:topLinePunct w:val="0"/>
        <w:autoSpaceDE/>
        <w:autoSpaceDN/>
        <w:bidi w:val="0"/>
        <w:adjustRightInd w:val="0"/>
        <w:snapToGrid w:val="0"/>
        <w:spacing w:line="560" w:lineRule="exact"/>
        <w:jc w:val="center"/>
        <w:outlineLvl w:val="0"/>
        <w:rPr>
          <w:rFonts w:hint="default" w:ascii="Times New Roman" w:hAnsi="Times New Roman" w:eastAsia="方正小标宋简体" w:cs="方正小标宋简体"/>
          <w:snapToGrid w:val="0"/>
          <w:kern w:val="0"/>
          <w:sz w:val="44"/>
          <w:szCs w:val="44"/>
          <w:lang w:val="en-US" w:eastAsia="zh-CN"/>
        </w:rPr>
      </w:pPr>
      <w:r>
        <w:rPr>
          <w:rFonts w:hint="eastAsia" w:eastAsia="方正小标宋简体" w:cs="方正小标宋简体"/>
          <w:snapToGrid w:val="0"/>
          <w:kern w:val="0"/>
          <w:sz w:val="44"/>
          <w:szCs w:val="44"/>
          <w:lang w:val="en-US" w:eastAsia="zh-CN"/>
        </w:rPr>
        <w:t>管理办法</w:t>
      </w:r>
      <w:r>
        <w:rPr>
          <w:rFonts w:hint="eastAsia" w:ascii="Times New Roman" w:hAnsi="Times New Roman" w:eastAsia="方正小标宋简体" w:cs="方正小标宋简体"/>
          <w:snapToGrid w:val="0"/>
          <w:kern w:val="0"/>
          <w:sz w:val="44"/>
          <w:szCs w:val="44"/>
        </w:rPr>
        <w:t>（试</w:t>
      </w:r>
      <w:r>
        <w:rPr>
          <w:rFonts w:hint="eastAsia" w:ascii="Times New Roman" w:hAnsi="Times New Roman" w:eastAsia="方正小标宋简体" w:cs="方正小标宋简体"/>
          <w:snapToGrid w:val="0"/>
          <w:kern w:val="0"/>
          <w:sz w:val="44"/>
          <w:szCs w:val="44"/>
          <w:lang w:val="en-US" w:eastAsia="zh-CN"/>
        </w:rPr>
        <w:t>行</w:t>
      </w:r>
      <w:r>
        <w:rPr>
          <w:rFonts w:hint="eastAsia" w:ascii="Times New Roman" w:hAnsi="Times New Roman" w:eastAsia="方正小标宋简体" w:cs="方正小标宋简体"/>
          <w:snapToGrid w:val="0"/>
          <w:kern w:val="0"/>
          <w:sz w:val="44"/>
          <w:szCs w:val="44"/>
        </w:rPr>
        <w:t>）</w:t>
      </w:r>
      <w:r>
        <w:rPr>
          <w:rFonts w:hint="eastAsia" w:eastAsia="方正小标宋简体" w:cs="方正小标宋简体"/>
          <w:snapToGrid w:val="0"/>
          <w:kern w:val="0"/>
          <w:sz w:val="44"/>
          <w:szCs w:val="44"/>
          <w:lang w:eastAsia="zh-CN"/>
        </w:rPr>
        <w:t>（</w:t>
      </w:r>
      <w:r>
        <w:rPr>
          <w:rFonts w:hint="eastAsia" w:eastAsia="方正小标宋简体" w:cs="方正小标宋简体"/>
          <w:snapToGrid w:val="0"/>
          <w:kern w:val="0"/>
          <w:sz w:val="44"/>
          <w:szCs w:val="44"/>
          <w:lang w:val="en-US" w:eastAsia="zh-CN"/>
        </w:rPr>
        <w:t>征求意见稿）</w:t>
      </w:r>
    </w:p>
    <w:p w14:paraId="0453EC6A">
      <w:pPr>
        <w:keepNext w:val="0"/>
        <w:keepLines w:val="0"/>
        <w:pageBreakBefore w:val="0"/>
        <w:widowControl w:val="0"/>
        <w:kinsoku/>
        <w:wordWrap/>
        <w:overflowPunct w:val="0"/>
        <w:topLinePunct w:val="0"/>
        <w:autoSpaceDE/>
        <w:autoSpaceDN/>
        <w:bidi w:val="0"/>
        <w:adjustRightInd w:val="0"/>
        <w:snapToGrid w:val="0"/>
        <w:spacing w:line="560" w:lineRule="exact"/>
        <w:ind w:firstLine="420"/>
        <w:outlineLvl w:val="0"/>
        <w:rPr>
          <w:rFonts w:ascii="Times New Roman" w:hAnsi="Times New Roman" w:eastAsia="仿宋_GB2312" w:cs="方正小标宋简体"/>
          <w:snapToGrid w:val="0"/>
          <w:kern w:val="0"/>
        </w:rPr>
      </w:pPr>
    </w:p>
    <w:p w14:paraId="05A419AF">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rPr>
          <w:rFonts w:hint="eastAsia" w:ascii="Times New Roman" w:hAnsi="Times New Roman" w:eastAsia="楷体_GB2312" w:cs="楷体_GB2312"/>
          <w:b/>
          <w:bCs/>
          <w:snapToGrid w:val="0"/>
          <w:kern w:val="0"/>
          <w:sz w:val="32"/>
          <w:szCs w:val="32"/>
          <w:lang w:val="en-US" w:eastAsia="zh-CN"/>
        </w:rPr>
      </w:pPr>
      <w:bookmarkStart w:id="1" w:name="_Toc28786"/>
      <w:r>
        <w:rPr>
          <w:rFonts w:hint="eastAsia" w:ascii="Times New Roman" w:hAnsi="Times New Roman" w:eastAsia="黑体" w:cs="黑体"/>
          <w:b w:val="0"/>
          <w:bCs w:val="0"/>
          <w:snapToGrid w:val="0"/>
          <w:kern w:val="0"/>
          <w:sz w:val="32"/>
          <w:szCs w:val="32"/>
          <w:lang w:val="en-US" w:eastAsia="zh-CN" w:bidi="ar-SA"/>
        </w:rPr>
        <w:t xml:space="preserve">第一章 </w:t>
      </w:r>
      <w:r>
        <w:rPr>
          <w:rFonts w:hint="eastAsia" w:ascii="Times New Roman" w:hAnsi="Times New Roman" w:eastAsia="黑体" w:cs="黑体"/>
          <w:b w:val="0"/>
          <w:bCs w:val="0"/>
          <w:snapToGrid w:val="0"/>
          <w:kern w:val="0"/>
          <w:sz w:val="32"/>
          <w:szCs w:val="32"/>
        </w:rPr>
        <w:t>总</w:t>
      </w:r>
      <w:r>
        <w:rPr>
          <w:rFonts w:hint="eastAsia" w:ascii="Times New Roman" w:hAnsi="Times New Roman" w:eastAsia="黑体" w:cs="黑体"/>
          <w:b w:val="0"/>
          <w:bCs w:val="0"/>
          <w:snapToGrid w:val="0"/>
          <w:kern w:val="0"/>
          <w:sz w:val="32"/>
          <w:szCs w:val="32"/>
          <w:lang w:val="en-US" w:eastAsia="zh-CN"/>
        </w:rPr>
        <w:t xml:space="preserve"> </w:t>
      </w:r>
      <w:r>
        <w:rPr>
          <w:rFonts w:hint="eastAsia" w:ascii="Times New Roman" w:hAnsi="Times New Roman" w:eastAsia="黑体" w:cs="黑体"/>
          <w:b w:val="0"/>
          <w:bCs w:val="0"/>
          <w:snapToGrid w:val="0"/>
          <w:kern w:val="0"/>
          <w:sz w:val="32"/>
          <w:szCs w:val="32"/>
        </w:rPr>
        <w:t>则</w:t>
      </w:r>
      <w:bookmarkEnd w:id="1"/>
    </w:p>
    <w:p w14:paraId="71AB698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rPr>
          <w:rFonts w:hint="eastAsia" w:ascii="Times New Roman" w:hAnsi="Times New Roman" w:eastAsia="仿宋_GB2312" w:cs="仿宋_GB2312"/>
          <w:snapToGrid w:val="0"/>
          <w:kern w:val="0"/>
          <w:lang w:val="en-US" w:eastAsia="zh-CN"/>
        </w:rPr>
      </w:pPr>
      <w:r>
        <w:rPr>
          <w:rFonts w:hint="eastAsia" w:ascii="仿宋_GB2312" w:hAnsi="仿宋_GB2312" w:eastAsia="仿宋_GB2312" w:cs="仿宋_GB2312"/>
          <w:b/>
          <w:bCs/>
          <w:snapToGrid w:val="0"/>
          <w:kern w:val="0"/>
          <w:lang w:val="en-US" w:eastAsia="zh-CN"/>
        </w:rPr>
        <w:t>第一条</w:t>
      </w:r>
      <w:r>
        <w:rPr>
          <w:rFonts w:hint="eastAsia" w:ascii="仿宋_GB2312" w:hAnsi="仿宋_GB2312" w:cs="仿宋_GB2312"/>
          <w:b/>
          <w:bCs/>
          <w:snapToGrid w:val="0"/>
          <w:kern w:val="0"/>
          <w:lang w:val="en-US" w:eastAsia="zh-CN"/>
        </w:rPr>
        <w:t xml:space="preserve">  </w:t>
      </w:r>
      <w:r>
        <w:rPr>
          <w:rFonts w:hint="eastAsia" w:ascii="Times New Roman" w:hAnsi="Times New Roman" w:eastAsia="仿宋_GB2312" w:cs="仿宋_GB2312"/>
          <w:snapToGrid w:val="0"/>
          <w:kern w:val="0"/>
          <w:lang w:val="en-US" w:eastAsia="zh-CN"/>
        </w:rPr>
        <w:t>为进一步加强城市道路管理，规范城市道路和绿地占用</w:t>
      </w:r>
      <w:r>
        <w:rPr>
          <w:rFonts w:hint="eastAsia" w:cs="仿宋_GB2312"/>
          <w:snapToGrid w:val="0"/>
          <w:kern w:val="0"/>
          <w:lang w:val="en-US" w:eastAsia="zh-CN"/>
        </w:rPr>
        <w:t>挖掘</w:t>
      </w:r>
      <w:r>
        <w:rPr>
          <w:rFonts w:hint="eastAsia" w:ascii="Times New Roman" w:hAnsi="Times New Roman" w:eastAsia="仿宋_GB2312" w:cs="仿宋_GB2312"/>
          <w:snapToGrid w:val="0"/>
          <w:kern w:val="0"/>
          <w:lang w:val="en-US" w:eastAsia="zh-CN"/>
        </w:rPr>
        <w:t>行为，保护城市道路和园林绿化设施，充分发挥城市道路、园林基础设施功能，根据国务院《城市道路管理条例》《城市绿化条例》《新疆维吾尔自治区城市道路占用费挖掘修复费管理办法》《新疆维吾尔自治区实施〈城市绿化条例〉办法》等有关法规，结合</w:t>
      </w:r>
      <w:r>
        <w:rPr>
          <w:rFonts w:hint="eastAsia" w:cs="仿宋_GB2312"/>
          <w:snapToGrid w:val="0"/>
          <w:kern w:val="0"/>
          <w:lang w:val="en-US" w:eastAsia="zh-CN"/>
        </w:rPr>
        <w:t>师市</w:t>
      </w:r>
      <w:r>
        <w:rPr>
          <w:rFonts w:hint="eastAsia" w:ascii="Times New Roman" w:hAnsi="Times New Roman" w:eastAsia="仿宋_GB2312" w:cs="仿宋_GB2312"/>
          <w:snapToGrid w:val="0"/>
          <w:kern w:val="0"/>
          <w:lang w:val="en-US" w:eastAsia="zh-CN"/>
        </w:rPr>
        <w:t>实际，制定本办法。</w:t>
      </w:r>
    </w:p>
    <w:p w14:paraId="58D5325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rPr>
          <w:rFonts w:hint="default" w:ascii="Times New Roman" w:hAnsi="Times New Roman" w:eastAsia="仿宋_GB2312" w:cs="仿宋_GB2312"/>
          <w:snapToGrid w:val="0"/>
          <w:kern w:val="0"/>
          <w:lang w:val="en-US" w:eastAsia="zh-CN"/>
        </w:rPr>
      </w:pPr>
      <w:r>
        <w:rPr>
          <w:rFonts w:hint="eastAsia" w:ascii="Times New Roman" w:hAnsi="Times New Roman" w:eastAsia="仿宋_GB2312" w:cs="仿宋_GB2312"/>
          <w:b/>
          <w:bCs/>
          <w:snapToGrid w:val="0"/>
          <w:kern w:val="0"/>
          <w:sz w:val="32"/>
          <w:szCs w:val="32"/>
          <w:lang w:val="en-US" w:eastAsia="zh-CN" w:bidi="ar-SA"/>
        </w:rPr>
        <w:t>第二条</w:t>
      </w:r>
      <w:r>
        <w:rPr>
          <w:rFonts w:hint="eastAsia" w:cs="仿宋_GB2312"/>
          <w:b/>
          <w:bCs/>
          <w:snapToGrid w:val="0"/>
          <w:kern w:val="0"/>
          <w:sz w:val="32"/>
          <w:szCs w:val="32"/>
          <w:lang w:val="en-US" w:eastAsia="zh-CN" w:bidi="ar-SA"/>
        </w:rPr>
        <w:t xml:space="preserve">  </w:t>
      </w:r>
      <w:r>
        <w:rPr>
          <w:rFonts w:hint="eastAsia" w:ascii="Times New Roman" w:hAnsi="Times New Roman" w:eastAsia="仿宋_GB2312" w:cs="仿宋_GB2312"/>
          <w:snapToGrid w:val="0"/>
          <w:kern w:val="0"/>
          <w:sz w:val="32"/>
          <w:szCs w:val="32"/>
          <w:lang w:val="en-US" w:eastAsia="zh-CN" w:bidi="ar-SA"/>
        </w:rPr>
        <w:t>本办法适用于第一师阿拉尔市城市规划区内</w:t>
      </w:r>
      <w:r>
        <w:rPr>
          <w:rFonts w:hint="eastAsia" w:cs="仿宋_GB2312"/>
          <w:snapToGrid w:val="0"/>
          <w:kern w:val="0"/>
          <w:sz w:val="32"/>
          <w:szCs w:val="32"/>
          <w:lang w:val="en-US" w:eastAsia="zh-CN" w:bidi="ar-SA"/>
        </w:rPr>
        <w:t>的城市</w:t>
      </w:r>
      <w:r>
        <w:rPr>
          <w:rFonts w:hint="eastAsia" w:ascii="Times New Roman" w:hAnsi="Times New Roman" w:eastAsia="仿宋_GB2312" w:cs="仿宋_GB2312"/>
          <w:snapToGrid w:val="0"/>
          <w:kern w:val="0"/>
          <w:sz w:val="32"/>
          <w:szCs w:val="32"/>
          <w:lang w:val="en-US" w:eastAsia="zh-CN" w:bidi="ar-SA"/>
        </w:rPr>
        <w:t>道路和绿地</w:t>
      </w:r>
      <w:r>
        <w:rPr>
          <w:rFonts w:hint="eastAsia" w:cs="仿宋_GB2312"/>
          <w:snapToGrid w:val="0"/>
          <w:kern w:val="0"/>
          <w:sz w:val="32"/>
          <w:szCs w:val="32"/>
          <w:lang w:val="en-US" w:eastAsia="zh-CN" w:bidi="ar-SA"/>
        </w:rPr>
        <w:t>的</w:t>
      </w:r>
      <w:r>
        <w:rPr>
          <w:rFonts w:hint="default" w:ascii="Times New Roman" w:hAnsi="Times New Roman" w:eastAsia="仿宋_GB2312" w:cs="仿宋_GB2312"/>
          <w:snapToGrid w:val="0"/>
          <w:kern w:val="0"/>
          <w:lang w:val="en-US" w:eastAsia="zh-CN"/>
        </w:rPr>
        <w:t>临时占用</w:t>
      </w:r>
      <w:r>
        <w:rPr>
          <w:rFonts w:hint="eastAsia" w:cs="仿宋_GB2312"/>
          <w:snapToGrid w:val="0"/>
          <w:kern w:val="0"/>
          <w:lang w:val="en-US" w:eastAsia="zh-CN"/>
        </w:rPr>
        <w:t>挖掘</w:t>
      </w:r>
      <w:r>
        <w:rPr>
          <w:rFonts w:hint="default" w:ascii="Times New Roman" w:hAnsi="Times New Roman" w:eastAsia="仿宋_GB2312" w:cs="仿宋_GB2312"/>
          <w:snapToGrid w:val="0"/>
          <w:kern w:val="0"/>
          <w:lang w:val="en-US" w:eastAsia="zh-CN"/>
        </w:rPr>
        <w:t>审批、施工监管、恢复、费用管理及责任追究等相关</w:t>
      </w:r>
      <w:r>
        <w:rPr>
          <w:rFonts w:hint="eastAsia" w:cs="仿宋_GB2312"/>
          <w:snapToGrid w:val="0"/>
          <w:kern w:val="0"/>
          <w:lang w:val="en-US" w:eastAsia="zh-CN"/>
        </w:rPr>
        <w:t>管理</w:t>
      </w:r>
      <w:r>
        <w:rPr>
          <w:rFonts w:hint="default" w:ascii="Times New Roman" w:hAnsi="Times New Roman" w:eastAsia="仿宋_GB2312" w:cs="仿宋_GB2312"/>
          <w:snapToGrid w:val="0"/>
          <w:kern w:val="0"/>
          <w:lang w:val="en-US" w:eastAsia="zh-CN"/>
        </w:rPr>
        <w:t>活动。</w:t>
      </w:r>
    </w:p>
    <w:p w14:paraId="7CD737C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rPr>
          <w:rFonts w:hint="eastAsia" w:ascii="Times New Roman" w:hAnsi="Times New Roman" w:eastAsia="仿宋_GB2312" w:cs="仿宋_GB2312"/>
          <w:snapToGrid w:val="0"/>
          <w:kern w:val="0"/>
          <w:lang w:val="en-US" w:eastAsia="zh-CN"/>
        </w:rPr>
      </w:pPr>
      <w:r>
        <w:rPr>
          <w:rFonts w:hint="eastAsia" w:ascii="Times New Roman" w:hAnsi="Times New Roman" w:eastAsia="仿宋_GB2312" w:cs="仿宋_GB2312"/>
          <w:snapToGrid w:val="0"/>
          <w:kern w:val="0"/>
          <w:lang w:val="en-US" w:eastAsia="zh-CN"/>
        </w:rPr>
        <w:t>城市道路是指</w:t>
      </w:r>
      <w:r>
        <w:rPr>
          <w:rFonts w:hint="eastAsia" w:cs="仿宋_GB2312"/>
          <w:snapToGrid w:val="0"/>
          <w:kern w:val="0"/>
          <w:lang w:val="en-US" w:eastAsia="zh-CN"/>
        </w:rPr>
        <w:t>阿拉尔</w:t>
      </w:r>
      <w:r>
        <w:rPr>
          <w:rFonts w:hint="eastAsia" w:ascii="Times New Roman" w:hAnsi="Times New Roman" w:eastAsia="仿宋_GB2312" w:cs="仿宋_GB2312"/>
          <w:snapToGrid w:val="0"/>
          <w:kern w:val="0"/>
          <w:lang w:val="en-US" w:eastAsia="zh-CN"/>
        </w:rPr>
        <w:t>市城区范围内的车行道、人行道、公共广场、公共停车场以及跨河桥、</w:t>
      </w:r>
      <w:r>
        <w:rPr>
          <w:rFonts w:hint="eastAsia" w:cs="仿宋_GB2312"/>
          <w:snapToGrid w:val="0"/>
          <w:kern w:val="0"/>
          <w:lang w:val="en-US" w:eastAsia="zh-CN"/>
        </w:rPr>
        <w:t>管廊</w:t>
      </w:r>
      <w:r>
        <w:rPr>
          <w:rFonts w:hint="eastAsia" w:ascii="Times New Roman" w:hAnsi="Times New Roman" w:eastAsia="仿宋_GB2312" w:cs="仿宋_GB2312"/>
          <w:snapToGrid w:val="0"/>
          <w:kern w:val="0"/>
          <w:lang w:val="en-US" w:eastAsia="zh-CN"/>
        </w:rPr>
        <w:t>、地下通道等规划红线范围内的道路建设用地及其附属设施。</w:t>
      </w:r>
    </w:p>
    <w:p w14:paraId="569DDDA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rPr>
          <w:rFonts w:hint="default" w:ascii="Times New Roman" w:hAnsi="Times New Roman" w:eastAsia="仿宋_GB2312" w:cs="仿宋_GB2312"/>
          <w:snapToGrid w:val="0"/>
          <w:kern w:val="0"/>
          <w:lang w:val="en-US" w:eastAsia="zh-CN"/>
        </w:rPr>
      </w:pPr>
      <w:r>
        <w:rPr>
          <w:rFonts w:hint="default" w:ascii="Times New Roman" w:hAnsi="Times New Roman" w:eastAsia="仿宋_GB2312" w:cs="仿宋_GB2312"/>
          <w:snapToGrid w:val="0"/>
          <w:kern w:val="0"/>
          <w:lang w:val="en-US" w:eastAsia="zh-CN"/>
        </w:rPr>
        <w:t>绿地是</w:t>
      </w:r>
      <w:r>
        <w:rPr>
          <w:rFonts w:hint="eastAsia" w:cs="仿宋_GB2312"/>
          <w:snapToGrid w:val="0"/>
          <w:kern w:val="0"/>
          <w:lang w:val="en-US" w:eastAsia="zh-CN"/>
        </w:rPr>
        <w:t>指</w:t>
      </w:r>
      <w:r>
        <w:rPr>
          <w:rFonts w:hint="default" w:ascii="Times New Roman" w:hAnsi="Times New Roman" w:eastAsia="仿宋_GB2312" w:cs="仿宋_GB2312"/>
          <w:snapToGrid w:val="0"/>
          <w:kern w:val="0"/>
          <w:lang w:val="en-US" w:eastAsia="zh-CN"/>
        </w:rPr>
        <w:t>城市绿化行政主管部门建设、管护及其他权属单位管理的各类城市绿地（含道路附属绿地</w:t>
      </w:r>
      <w:r>
        <w:rPr>
          <w:rFonts w:hint="eastAsia" w:cs="仿宋_GB2312"/>
          <w:snapToGrid w:val="0"/>
          <w:kern w:val="0"/>
          <w:lang w:val="en-US" w:eastAsia="zh-CN"/>
        </w:rPr>
        <w:t>、</w:t>
      </w:r>
      <w:r>
        <w:rPr>
          <w:rFonts w:hint="default" w:ascii="Times New Roman" w:hAnsi="Times New Roman" w:eastAsia="仿宋_GB2312" w:cs="仿宋_GB2312"/>
          <w:snapToGrid w:val="0"/>
          <w:kern w:val="0"/>
          <w:lang w:val="en-US" w:eastAsia="zh-CN"/>
        </w:rPr>
        <w:t>公园绿地、防护绿地、广场用地、区域绿地及其他用于绿化的土地）等。</w:t>
      </w:r>
    </w:p>
    <w:p w14:paraId="36C69EC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rPr>
          <w:rFonts w:hint="default" w:ascii="Times New Roman" w:hAnsi="Times New Roman" w:eastAsia="仿宋_GB2312" w:cs="仿宋_GB2312"/>
          <w:snapToGrid w:val="0"/>
          <w:kern w:val="0"/>
          <w:lang w:val="en-US" w:eastAsia="zh-CN"/>
        </w:rPr>
      </w:pPr>
      <w:r>
        <w:rPr>
          <w:rFonts w:hint="eastAsia" w:cs="仿宋_GB2312"/>
          <w:b/>
          <w:bCs/>
          <w:snapToGrid w:val="0"/>
          <w:kern w:val="0"/>
          <w:lang w:val="en-US" w:eastAsia="zh-CN"/>
        </w:rPr>
        <w:t xml:space="preserve">第三条 </w:t>
      </w:r>
      <w:r>
        <w:rPr>
          <w:rFonts w:hint="default" w:ascii="Times New Roman" w:hAnsi="Times New Roman" w:eastAsia="仿宋_GB2312" w:cs="仿宋_GB2312"/>
          <w:snapToGrid w:val="0"/>
          <w:kern w:val="0"/>
          <w:lang w:val="en-US" w:eastAsia="zh-CN"/>
        </w:rPr>
        <w:t>本办法所称占用挖掘道路</w:t>
      </w:r>
      <w:r>
        <w:rPr>
          <w:rFonts w:hint="eastAsia" w:cs="仿宋_GB2312"/>
          <w:snapToGrid w:val="0"/>
          <w:kern w:val="0"/>
          <w:lang w:val="en-US" w:eastAsia="zh-CN"/>
        </w:rPr>
        <w:t>、绿地</w:t>
      </w:r>
      <w:r>
        <w:rPr>
          <w:rFonts w:hint="default" w:ascii="Times New Roman" w:hAnsi="Times New Roman" w:eastAsia="仿宋_GB2312" w:cs="仿宋_GB2312"/>
          <w:snapToGrid w:val="0"/>
          <w:kern w:val="0"/>
          <w:lang w:val="en-US" w:eastAsia="zh-CN"/>
        </w:rPr>
        <w:t>，是指</w:t>
      </w:r>
      <w:r>
        <w:rPr>
          <w:rFonts w:hint="eastAsia" w:cs="仿宋_GB2312"/>
          <w:snapToGrid w:val="0"/>
          <w:kern w:val="0"/>
          <w:lang w:val="en-US" w:eastAsia="zh-CN"/>
        </w:rPr>
        <w:t>临时</w:t>
      </w:r>
      <w:r>
        <w:rPr>
          <w:rFonts w:hint="default" w:ascii="Times New Roman" w:hAnsi="Times New Roman" w:eastAsia="仿宋_GB2312" w:cs="仿宋_GB2312"/>
          <w:snapToGrid w:val="0"/>
          <w:kern w:val="0"/>
          <w:lang w:val="en-US" w:eastAsia="zh-CN"/>
        </w:rPr>
        <w:t>占用或挖掘道路、</w:t>
      </w:r>
      <w:r>
        <w:rPr>
          <w:rFonts w:hint="eastAsia" w:cs="仿宋_GB2312"/>
          <w:snapToGrid w:val="0"/>
          <w:kern w:val="0"/>
          <w:lang w:val="en-US" w:eastAsia="zh-CN"/>
        </w:rPr>
        <w:t>绿地、</w:t>
      </w:r>
      <w:r>
        <w:rPr>
          <w:rFonts w:hint="default" w:ascii="Times New Roman" w:hAnsi="Times New Roman" w:eastAsia="仿宋_GB2312" w:cs="仿宋_GB2312"/>
          <w:snapToGrid w:val="0"/>
          <w:kern w:val="0"/>
          <w:lang w:val="en-US" w:eastAsia="zh-CN"/>
        </w:rPr>
        <w:t>桥梁、隧道，实施埋（架）设硬线（燃气、</w:t>
      </w:r>
      <w:r>
        <w:rPr>
          <w:rFonts w:hint="eastAsia" w:cs="仿宋_GB2312"/>
          <w:snapToGrid w:val="0"/>
          <w:kern w:val="0"/>
          <w:lang w:val="en-US" w:eastAsia="zh-CN"/>
        </w:rPr>
        <w:t>供</w:t>
      </w:r>
      <w:r>
        <w:rPr>
          <w:rFonts w:hint="default" w:ascii="Times New Roman" w:hAnsi="Times New Roman" w:eastAsia="仿宋_GB2312" w:cs="仿宋_GB2312"/>
          <w:snapToGrid w:val="0"/>
          <w:kern w:val="0"/>
          <w:lang w:val="en-US" w:eastAsia="zh-CN"/>
        </w:rPr>
        <w:t>水、排水等管道）、软线（通信信息、监控、电力电缆等线缆）等管线工程施工、轨道交通建设及其交通疏解施工、人行道改造施工、交通隐患整治、道路</w:t>
      </w:r>
      <w:r>
        <w:rPr>
          <w:rFonts w:hint="eastAsia" w:cs="仿宋_GB2312"/>
          <w:snapToGrid w:val="0"/>
          <w:kern w:val="0"/>
          <w:lang w:val="en-US" w:eastAsia="zh-CN"/>
        </w:rPr>
        <w:t>或绿化</w:t>
      </w:r>
      <w:r>
        <w:rPr>
          <w:rFonts w:hint="default" w:ascii="Times New Roman" w:hAnsi="Times New Roman" w:eastAsia="仿宋_GB2312" w:cs="仿宋_GB2312"/>
          <w:snapToGrid w:val="0"/>
          <w:kern w:val="0"/>
          <w:lang w:val="en-US" w:eastAsia="zh-CN"/>
        </w:rPr>
        <w:t>品质提升施工、路面改造施工以及在道路</w:t>
      </w:r>
      <w:r>
        <w:rPr>
          <w:rFonts w:hint="eastAsia" w:cs="仿宋_GB2312"/>
          <w:snapToGrid w:val="0"/>
          <w:kern w:val="0"/>
          <w:lang w:val="en-US" w:eastAsia="zh-CN"/>
        </w:rPr>
        <w:t>、绿地</w:t>
      </w:r>
      <w:r>
        <w:rPr>
          <w:rFonts w:hint="default" w:ascii="Times New Roman" w:hAnsi="Times New Roman" w:eastAsia="仿宋_GB2312" w:cs="仿宋_GB2312"/>
          <w:snapToGrid w:val="0"/>
          <w:kern w:val="0"/>
          <w:lang w:val="en-US" w:eastAsia="zh-CN"/>
        </w:rPr>
        <w:t>范围内进行勘探、养护、维修等临时性活动的行为。</w:t>
      </w:r>
    </w:p>
    <w:p w14:paraId="7AA1ED2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rPr>
          <w:rFonts w:hint="eastAsia" w:cs="仿宋_GB2312"/>
          <w:b w:val="0"/>
          <w:bCs w:val="0"/>
          <w:snapToGrid w:val="0"/>
          <w:kern w:val="0"/>
          <w:lang w:val="en-US" w:eastAsia="zh-CN"/>
        </w:rPr>
      </w:pPr>
      <w:r>
        <w:rPr>
          <w:rFonts w:hint="eastAsia" w:cs="仿宋_GB2312"/>
          <w:b/>
          <w:bCs/>
          <w:snapToGrid w:val="0"/>
          <w:kern w:val="0"/>
          <w:lang w:val="en-US" w:eastAsia="zh-CN"/>
        </w:rPr>
        <w:t xml:space="preserve">第四条  </w:t>
      </w:r>
      <w:r>
        <w:rPr>
          <w:rFonts w:hint="eastAsia" w:cs="仿宋_GB2312"/>
          <w:b w:val="0"/>
          <w:bCs w:val="0"/>
          <w:snapToGrid w:val="0"/>
          <w:kern w:val="0"/>
          <w:lang w:val="en-US" w:eastAsia="zh-CN"/>
        </w:rPr>
        <w:t>项目责任主体单位新建、改建、扩建道路、各类市政管线时，选址及敷设位置须符合上位规划要求，依附新建道路的各类管线要同步规划、同步设计、同步实施。</w:t>
      </w:r>
    </w:p>
    <w:p w14:paraId="06F9DE1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rPr>
          <w:rFonts w:hint="default" w:cs="仿宋_GB2312"/>
          <w:b w:val="0"/>
          <w:bCs w:val="0"/>
          <w:snapToGrid w:val="0"/>
          <w:color w:val="FF0000"/>
          <w:kern w:val="0"/>
          <w:lang w:val="en-US" w:eastAsia="zh-CN"/>
        </w:rPr>
      </w:pPr>
      <w:r>
        <w:rPr>
          <w:rFonts w:hint="eastAsia" w:cs="仿宋_GB2312"/>
          <w:b/>
          <w:bCs/>
          <w:snapToGrid w:val="0"/>
          <w:kern w:val="0"/>
          <w:lang w:val="en-US" w:eastAsia="zh-CN"/>
        </w:rPr>
        <w:t>第五条</w:t>
      </w:r>
      <w:r>
        <w:rPr>
          <w:rFonts w:hint="eastAsia" w:cs="仿宋_GB2312"/>
          <w:b w:val="0"/>
          <w:bCs w:val="0"/>
          <w:snapToGrid w:val="0"/>
          <w:kern w:val="0"/>
          <w:lang w:val="en-US" w:eastAsia="zh-CN"/>
        </w:rPr>
        <w:t xml:space="preserve">  新建市政管线（含改造管线）在综合考虑地下现状管线位置关系的基础上，应按照国家规范，确保各类管线布局合理，选址禁止布置在有乔木种植的市政绿化带内并对现有城市绿化、树木进行避让。如位置受限确实无法避让的，在设计或者施工前由城市绿化行政主管部门确定并采取保护措施后可布置在绿化带内，布置在绿化带内的各类管线，埋深需符合相关规范。</w:t>
      </w:r>
    </w:p>
    <w:p w14:paraId="267AA18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六</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任何单位和个人未经许可，不得擅自</w:t>
      </w:r>
      <w:r>
        <w:rPr>
          <w:rFonts w:hint="eastAsia" w:ascii="Times New Roman" w:hAnsi="Times New Roman" w:eastAsia="仿宋_GB2312" w:cs="仿宋_GB2312"/>
          <w:snapToGrid w:val="0"/>
          <w:kern w:val="0"/>
          <w:sz w:val="32"/>
          <w:szCs w:val="32"/>
          <w:lang w:val="en-US" w:eastAsia="zh-CN" w:bidi="ar-SA"/>
        </w:rPr>
        <w:t>占用、挖掘</w:t>
      </w:r>
      <w:r>
        <w:rPr>
          <w:rFonts w:hint="default" w:ascii="Times New Roman" w:hAnsi="Times New Roman" w:eastAsia="仿宋_GB2312" w:cs="仿宋_GB2312"/>
          <w:snapToGrid w:val="0"/>
          <w:kern w:val="0"/>
          <w:sz w:val="32"/>
          <w:szCs w:val="32"/>
          <w:lang w:val="en-US" w:eastAsia="zh-CN" w:bidi="ar-SA"/>
        </w:rPr>
        <w:t>城市道路和绿地；经许可</w:t>
      </w:r>
      <w:r>
        <w:rPr>
          <w:rFonts w:hint="eastAsia" w:ascii="Times New Roman" w:hAnsi="Times New Roman" w:eastAsia="仿宋_GB2312" w:cs="仿宋_GB2312"/>
          <w:snapToGrid w:val="0"/>
          <w:kern w:val="0"/>
          <w:sz w:val="32"/>
          <w:szCs w:val="32"/>
          <w:lang w:val="en-US" w:eastAsia="zh-CN" w:bidi="ar-SA"/>
        </w:rPr>
        <w:t>占用</w:t>
      </w:r>
      <w:r>
        <w:rPr>
          <w:rFonts w:hint="default" w:ascii="Times New Roman" w:hAnsi="Times New Roman" w:eastAsia="仿宋_GB2312" w:cs="仿宋_GB2312"/>
          <w:snapToGrid w:val="0"/>
          <w:kern w:val="0"/>
          <w:sz w:val="32"/>
          <w:szCs w:val="32"/>
          <w:lang w:val="en-US" w:eastAsia="zh-CN" w:bidi="ar-SA"/>
        </w:rPr>
        <w:t>、</w:t>
      </w:r>
      <w:r>
        <w:rPr>
          <w:rFonts w:hint="eastAsia" w:ascii="Times New Roman" w:hAnsi="Times New Roman" w:eastAsia="仿宋_GB2312" w:cs="仿宋_GB2312"/>
          <w:snapToGrid w:val="0"/>
          <w:kern w:val="0"/>
          <w:sz w:val="32"/>
          <w:szCs w:val="32"/>
          <w:lang w:val="en-US" w:eastAsia="zh-CN" w:bidi="ar-SA"/>
        </w:rPr>
        <w:t>挖掘</w:t>
      </w:r>
      <w:r>
        <w:rPr>
          <w:rFonts w:hint="default" w:ascii="Times New Roman" w:hAnsi="Times New Roman" w:eastAsia="仿宋_GB2312" w:cs="仿宋_GB2312"/>
          <w:snapToGrid w:val="0"/>
          <w:kern w:val="0"/>
          <w:sz w:val="32"/>
          <w:szCs w:val="32"/>
          <w:lang w:val="en-US" w:eastAsia="zh-CN" w:bidi="ar-SA"/>
        </w:rPr>
        <w:t>的，应当采取有效措施，减少对行人、交通和市容环境的影响。</w:t>
      </w:r>
    </w:p>
    <w:p w14:paraId="3F9ED9F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城市道路和绿地除按照法定程序变更城市规划功能外，不得永久性占用。</w:t>
      </w:r>
    </w:p>
    <w:p w14:paraId="2F86C30A">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both"/>
        <w:textAlignment w:val="baseline"/>
        <w:outlineLvl w:val="3"/>
        <w:rPr>
          <w:rFonts w:hint="eastAsia" w:ascii="Times New Roman" w:hAnsi="Times New Roman" w:eastAsia="黑体" w:cs="黑体"/>
          <w:b w:val="0"/>
          <w:bCs w:val="0"/>
          <w:snapToGrid w:val="0"/>
          <w:kern w:val="0"/>
          <w:sz w:val="32"/>
          <w:szCs w:val="32"/>
          <w:lang w:val="en-US" w:eastAsia="zh-CN" w:bidi="ar-SA"/>
        </w:rPr>
      </w:pPr>
    </w:p>
    <w:p w14:paraId="53F93316">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eastAsia" w:ascii="Times New Roman" w:hAnsi="Times New Roman" w:eastAsia="黑体" w:cs="黑体"/>
          <w:b w:val="0"/>
          <w:bCs w:val="0"/>
          <w:snapToGrid w:val="0"/>
          <w:kern w:val="0"/>
          <w:sz w:val="32"/>
          <w:szCs w:val="32"/>
          <w:lang w:val="en-US" w:eastAsia="zh-CN" w:bidi="ar-SA"/>
        </w:rPr>
      </w:pPr>
      <w:r>
        <w:rPr>
          <w:rFonts w:hint="eastAsia" w:ascii="Times New Roman" w:hAnsi="Times New Roman" w:eastAsia="黑体" w:cs="黑体"/>
          <w:b w:val="0"/>
          <w:bCs w:val="0"/>
          <w:snapToGrid w:val="0"/>
          <w:kern w:val="0"/>
          <w:sz w:val="32"/>
          <w:szCs w:val="32"/>
          <w:lang w:val="en-US" w:eastAsia="zh-CN" w:bidi="ar-SA"/>
        </w:rPr>
        <w:t>第二章 职责分工</w:t>
      </w:r>
    </w:p>
    <w:p w14:paraId="2E076E4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七</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师市城市管理部门负责组织实施本办法，负责办理城区道路和绿地的占用挖掘审批</w:t>
      </w:r>
      <w:r>
        <w:rPr>
          <w:rFonts w:hint="eastAsia" w:cs="仿宋_GB2312"/>
          <w:snapToGrid w:val="0"/>
          <w:kern w:val="0"/>
          <w:sz w:val="32"/>
          <w:szCs w:val="32"/>
          <w:lang w:val="en-US" w:eastAsia="zh-CN" w:bidi="ar-SA"/>
        </w:rPr>
        <w:t>，依法收取</w:t>
      </w:r>
      <w:r>
        <w:rPr>
          <w:rFonts w:hint="eastAsia" w:ascii="Times New Roman" w:hAnsi="Times New Roman" w:eastAsia="仿宋_GB2312" w:cs="仿宋_GB2312"/>
          <w:snapToGrid w:val="0"/>
          <w:kern w:val="0"/>
          <w:sz w:val="32"/>
          <w:szCs w:val="32"/>
          <w:lang w:val="en-US" w:eastAsia="zh-CN" w:bidi="ar-SA"/>
        </w:rPr>
        <w:t>占道挖掘费和施工</w:t>
      </w:r>
      <w:r>
        <w:rPr>
          <w:rFonts w:hint="eastAsia" w:cs="仿宋_GB2312"/>
          <w:snapToGrid w:val="0"/>
          <w:kern w:val="0"/>
          <w:sz w:val="32"/>
          <w:szCs w:val="32"/>
          <w:lang w:val="en-US" w:eastAsia="zh-CN" w:bidi="ar-SA"/>
        </w:rPr>
        <w:t>保证金；师市城市管理行政执法部门负责</w:t>
      </w:r>
      <w:r>
        <w:rPr>
          <w:rFonts w:hint="eastAsia" w:ascii="Times New Roman" w:hAnsi="Times New Roman" w:eastAsia="仿宋_GB2312" w:cs="仿宋_GB2312"/>
          <w:snapToGrid w:val="0"/>
          <w:kern w:val="0"/>
          <w:sz w:val="32"/>
          <w:szCs w:val="32"/>
          <w:lang w:val="en-US" w:eastAsia="zh-CN" w:bidi="ar-SA"/>
        </w:rPr>
        <w:t>实施现场文明施工执法监督工作，</w:t>
      </w:r>
      <w:r>
        <w:rPr>
          <w:rFonts w:hint="default" w:ascii="Times New Roman" w:hAnsi="Times New Roman" w:eastAsia="仿宋_GB2312" w:cs="仿宋_GB2312"/>
          <w:snapToGrid w:val="0"/>
          <w:kern w:val="0"/>
          <w:sz w:val="32"/>
          <w:szCs w:val="32"/>
          <w:lang w:val="en-US" w:eastAsia="zh-CN" w:bidi="ar-SA"/>
        </w:rPr>
        <w:t>查处擅自挖掘、超范围施工等行为</w:t>
      </w:r>
      <w:r>
        <w:rPr>
          <w:rFonts w:hint="eastAsia" w:cs="仿宋_GB2312"/>
          <w:snapToGrid w:val="0"/>
          <w:kern w:val="0"/>
          <w:sz w:val="32"/>
          <w:szCs w:val="32"/>
          <w:lang w:val="en-US" w:eastAsia="zh-CN" w:bidi="ar-SA"/>
        </w:rPr>
        <w:t>。</w:t>
      </w:r>
    </w:p>
    <w:p w14:paraId="73389C8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八</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color w:val="auto"/>
          <w:kern w:val="0"/>
          <w:sz w:val="32"/>
          <w:szCs w:val="32"/>
          <w:u w:val="none"/>
          <w:lang w:val="en-US" w:eastAsia="zh-CN" w:bidi="ar-SA"/>
        </w:rPr>
        <w:t>师市住房和城乡建设部门负责</w:t>
      </w:r>
      <w:r>
        <w:rPr>
          <w:rFonts w:hint="eastAsia" w:cs="仿宋_GB2312"/>
          <w:snapToGrid w:val="0"/>
          <w:color w:val="auto"/>
          <w:kern w:val="0"/>
          <w:sz w:val="32"/>
          <w:szCs w:val="32"/>
          <w:u w:val="none"/>
          <w:lang w:val="en-US" w:eastAsia="zh-CN" w:bidi="ar-SA"/>
        </w:rPr>
        <w:t>规范行政</w:t>
      </w:r>
      <w:r>
        <w:rPr>
          <w:rFonts w:hint="eastAsia" w:ascii="Times New Roman" w:hAnsi="Times New Roman" w:eastAsia="仿宋_GB2312" w:cs="仿宋_GB2312"/>
          <w:snapToGrid w:val="0"/>
          <w:color w:val="auto"/>
          <w:kern w:val="0"/>
          <w:sz w:val="32"/>
          <w:szCs w:val="32"/>
          <w:u w:val="none"/>
          <w:lang w:val="en-US" w:eastAsia="zh-CN" w:bidi="ar-SA"/>
        </w:rPr>
        <w:t>审批管理；</w:t>
      </w:r>
      <w:r>
        <w:rPr>
          <w:rFonts w:hint="eastAsia" w:ascii="Times New Roman" w:hAnsi="Times New Roman" w:eastAsia="仿宋_GB2312" w:cs="仿宋_GB2312"/>
          <w:snapToGrid w:val="0"/>
          <w:kern w:val="0"/>
          <w:sz w:val="32"/>
          <w:szCs w:val="32"/>
          <w:lang w:val="en-US" w:eastAsia="zh-CN" w:bidi="ar-SA"/>
        </w:rPr>
        <w:t>按规定对涉挖掘城市道路、绿地施工项目</w:t>
      </w:r>
      <w:r>
        <w:rPr>
          <w:rFonts w:hint="eastAsia" w:cs="仿宋_GB2312"/>
          <w:snapToGrid w:val="0"/>
          <w:kern w:val="0"/>
          <w:sz w:val="32"/>
          <w:szCs w:val="32"/>
          <w:lang w:val="en-US" w:eastAsia="zh-CN" w:bidi="ar-SA"/>
        </w:rPr>
        <w:t>技术方案</w:t>
      </w:r>
      <w:r>
        <w:rPr>
          <w:rFonts w:hint="eastAsia" w:ascii="Times New Roman" w:hAnsi="Times New Roman" w:eastAsia="仿宋_GB2312" w:cs="仿宋_GB2312"/>
          <w:snapToGrid w:val="0"/>
          <w:kern w:val="0"/>
          <w:sz w:val="32"/>
          <w:szCs w:val="32"/>
          <w:lang w:val="en-US" w:eastAsia="zh-CN" w:bidi="ar-SA"/>
        </w:rPr>
        <w:t>组织开展审查；负责技术指导、质量</w:t>
      </w:r>
      <w:r>
        <w:rPr>
          <w:rFonts w:hint="eastAsia" w:cs="仿宋_GB2312"/>
          <w:snapToGrid w:val="0"/>
          <w:kern w:val="0"/>
          <w:sz w:val="32"/>
          <w:szCs w:val="32"/>
          <w:lang w:val="en-US" w:eastAsia="zh-CN" w:bidi="ar-SA"/>
        </w:rPr>
        <w:t>管控</w:t>
      </w:r>
      <w:r>
        <w:rPr>
          <w:rFonts w:hint="eastAsia" w:ascii="Times New Roman" w:hAnsi="Times New Roman" w:eastAsia="仿宋_GB2312" w:cs="仿宋_GB2312"/>
          <w:snapToGrid w:val="0"/>
          <w:kern w:val="0"/>
          <w:sz w:val="32"/>
          <w:szCs w:val="32"/>
          <w:lang w:val="en-US" w:eastAsia="zh-CN" w:bidi="ar-SA"/>
        </w:rPr>
        <w:t>及完工后的修复工程联合验收。</w:t>
      </w:r>
    </w:p>
    <w:p w14:paraId="78F1B7A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九</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eastAsia" w:ascii="Times New Roman" w:hAnsi="Times New Roman" w:eastAsia="仿宋_GB2312" w:cs="仿宋_GB2312"/>
          <w:snapToGrid w:val="0"/>
          <w:kern w:val="0"/>
          <w:sz w:val="32"/>
          <w:szCs w:val="32"/>
          <w:lang w:val="en-US" w:eastAsia="zh-CN" w:bidi="ar-SA"/>
        </w:rPr>
        <w:t>师市公安交警部门负责对影响道路交通安全的占用挖掘道路行政许可申请出具交通安全审核意见；监督交通疏解方案的落实</w:t>
      </w:r>
      <w:r>
        <w:rPr>
          <w:rFonts w:hint="eastAsia" w:cs="仿宋_GB2312"/>
          <w:snapToGrid w:val="0"/>
          <w:kern w:val="0"/>
          <w:sz w:val="32"/>
          <w:szCs w:val="32"/>
          <w:lang w:val="en-US" w:eastAsia="zh-CN" w:bidi="ar-SA"/>
        </w:rPr>
        <w:t>，</w:t>
      </w:r>
      <w:r>
        <w:rPr>
          <w:rFonts w:hint="eastAsia" w:ascii="Times New Roman" w:hAnsi="Times New Roman" w:eastAsia="仿宋_GB2312" w:cs="仿宋_GB2312"/>
          <w:snapToGrid w:val="0"/>
          <w:kern w:val="0"/>
          <w:sz w:val="32"/>
          <w:szCs w:val="32"/>
          <w:lang w:val="en-US" w:eastAsia="zh-CN" w:bidi="ar-SA"/>
        </w:rPr>
        <w:t>维护道路交通安全和交通秩序。</w:t>
      </w:r>
    </w:p>
    <w:p w14:paraId="7A1450E7">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cs="仿宋_GB2312"/>
          <w:snapToGrid w:val="0"/>
          <w:color w:val="auto"/>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十</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b w:val="0"/>
          <w:bCs w:val="0"/>
          <w:snapToGrid w:val="0"/>
          <w:color w:val="auto"/>
          <w:kern w:val="0"/>
          <w:sz w:val="32"/>
          <w:szCs w:val="32"/>
          <w:lang w:val="en-US" w:eastAsia="zh-CN" w:bidi="ar-SA"/>
        </w:rPr>
        <w:t>师市发展改革部门依据职责负责做好本级投资项</w:t>
      </w:r>
      <w:r>
        <w:rPr>
          <w:rFonts w:hint="eastAsia" w:ascii="Times New Roman" w:hAnsi="Times New Roman" w:eastAsia="仿宋_GB2312" w:cs="仿宋_GB2312"/>
          <w:snapToGrid w:val="0"/>
          <w:color w:val="auto"/>
          <w:kern w:val="0"/>
          <w:sz w:val="32"/>
          <w:szCs w:val="32"/>
          <w:lang w:val="en-US" w:eastAsia="zh-CN" w:bidi="ar-SA"/>
        </w:rPr>
        <w:t>目审批工作</w:t>
      </w:r>
      <w:r>
        <w:rPr>
          <w:rFonts w:hint="eastAsia" w:cs="仿宋_GB2312"/>
          <w:snapToGrid w:val="0"/>
          <w:color w:val="auto"/>
          <w:kern w:val="0"/>
          <w:sz w:val="32"/>
          <w:szCs w:val="32"/>
          <w:lang w:val="en-US" w:eastAsia="zh-CN" w:bidi="ar-SA"/>
        </w:rPr>
        <w:t>。</w:t>
      </w:r>
    </w:p>
    <w:p w14:paraId="10921B9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十一</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师市自然资源和规划部门负责按照上位规划中市政道路位置、红线宽度进行规划审批，依附道路的市政管线敷设位置应位于道路红线内。</w:t>
      </w:r>
    </w:p>
    <w:p w14:paraId="4EC36D2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十二</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eastAsia" w:cs="仿宋_GB2312"/>
          <w:snapToGrid w:val="0"/>
          <w:kern w:val="0"/>
          <w:sz w:val="32"/>
          <w:szCs w:val="32"/>
          <w:lang w:val="en-US" w:eastAsia="zh-CN" w:bidi="ar-SA"/>
        </w:rPr>
        <w:t>师</w:t>
      </w:r>
      <w:r>
        <w:rPr>
          <w:rFonts w:hint="eastAsia" w:ascii="Times New Roman" w:hAnsi="Times New Roman" w:eastAsia="仿宋_GB2312" w:cs="仿宋_GB2312"/>
          <w:snapToGrid w:val="0"/>
          <w:kern w:val="0"/>
          <w:sz w:val="32"/>
          <w:szCs w:val="32"/>
          <w:lang w:val="en-US" w:eastAsia="zh-CN" w:bidi="ar-SA"/>
        </w:rPr>
        <w:t>市财政部门依据职责负责</w:t>
      </w:r>
      <w:r>
        <w:rPr>
          <w:rFonts w:hint="default" w:ascii="Times New Roman" w:hAnsi="Times New Roman" w:eastAsia="仿宋_GB2312" w:cs="仿宋_GB2312"/>
          <w:snapToGrid w:val="0"/>
          <w:kern w:val="0"/>
          <w:lang w:val="en-US" w:eastAsia="zh-CN"/>
        </w:rPr>
        <w:t>监管</w:t>
      </w:r>
      <w:r>
        <w:rPr>
          <w:rFonts w:hint="eastAsia" w:ascii="Times New Roman" w:hAnsi="Times New Roman" w:eastAsia="仿宋_GB2312" w:cs="仿宋_GB2312"/>
          <w:snapToGrid w:val="0"/>
          <w:kern w:val="0"/>
          <w:lang w:val="en-US" w:eastAsia="zh-CN"/>
        </w:rPr>
        <w:t>城市道路</w:t>
      </w:r>
      <w:r>
        <w:rPr>
          <w:rFonts w:hint="default" w:ascii="Times New Roman" w:hAnsi="Times New Roman" w:eastAsia="仿宋_GB2312" w:cs="仿宋_GB2312"/>
          <w:snapToGrid w:val="0"/>
          <w:kern w:val="0"/>
          <w:lang w:val="en-US" w:eastAsia="zh-CN"/>
        </w:rPr>
        <w:t>占用</w:t>
      </w:r>
      <w:r>
        <w:rPr>
          <w:rFonts w:hint="eastAsia" w:ascii="Times New Roman" w:hAnsi="Times New Roman" w:eastAsia="仿宋_GB2312" w:cs="仿宋_GB2312"/>
          <w:snapToGrid w:val="0"/>
          <w:kern w:val="0"/>
          <w:sz w:val="32"/>
          <w:szCs w:val="32"/>
          <w:lang w:val="en-US" w:eastAsia="zh-CN" w:bidi="ar-SA"/>
        </w:rPr>
        <w:t>费</w:t>
      </w:r>
      <w:r>
        <w:rPr>
          <w:rFonts w:hint="default" w:ascii="Times New Roman" w:hAnsi="Times New Roman" w:eastAsia="仿宋_GB2312" w:cs="仿宋_GB2312"/>
          <w:snapToGrid w:val="0"/>
          <w:kern w:val="0"/>
          <w:lang w:val="en-US" w:eastAsia="zh-CN"/>
        </w:rPr>
        <w:t>收支</w:t>
      </w:r>
      <w:r>
        <w:rPr>
          <w:rFonts w:hint="eastAsia" w:ascii="Times New Roman" w:hAnsi="Times New Roman" w:eastAsia="仿宋_GB2312" w:cs="仿宋_GB2312"/>
          <w:snapToGrid w:val="0"/>
          <w:kern w:val="0"/>
          <w:lang w:val="en-US" w:eastAsia="zh-CN"/>
        </w:rPr>
        <w:t>。</w:t>
      </w:r>
    </w:p>
    <w:p w14:paraId="461348F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第十</w:t>
      </w:r>
      <w:r>
        <w:rPr>
          <w:rFonts w:hint="eastAsia" w:cs="仿宋_GB2312"/>
          <w:b/>
          <w:bCs/>
          <w:snapToGrid w:val="0"/>
          <w:kern w:val="0"/>
          <w:sz w:val="32"/>
          <w:szCs w:val="32"/>
          <w:lang w:val="en-US" w:eastAsia="zh-CN" w:bidi="ar-SA"/>
        </w:rPr>
        <w:t>三</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师市生态环境管理部门负责道路</w:t>
      </w:r>
      <w:r>
        <w:rPr>
          <w:rFonts w:hint="eastAsia" w:cs="仿宋_GB2312"/>
          <w:snapToGrid w:val="0"/>
          <w:kern w:val="0"/>
          <w:sz w:val="32"/>
          <w:szCs w:val="32"/>
          <w:lang w:val="en-US" w:eastAsia="zh-CN" w:bidi="ar-SA"/>
        </w:rPr>
        <w:t>、绿地</w:t>
      </w:r>
      <w:r>
        <w:rPr>
          <w:rFonts w:hint="eastAsia" w:ascii="Times New Roman" w:hAnsi="Times New Roman" w:eastAsia="仿宋_GB2312" w:cs="仿宋_GB2312"/>
          <w:snapToGrid w:val="0"/>
          <w:kern w:val="0"/>
          <w:sz w:val="32"/>
          <w:szCs w:val="32"/>
          <w:lang w:val="en-US" w:eastAsia="zh-CN" w:bidi="ar-SA"/>
        </w:rPr>
        <w:t>挖掘工程生态环境问题的统筹协调和监督管理；牵头协调环境污染事故和生态破坏事件的调查处理；负责道路</w:t>
      </w:r>
      <w:r>
        <w:rPr>
          <w:rFonts w:hint="eastAsia" w:cs="仿宋_GB2312"/>
          <w:snapToGrid w:val="0"/>
          <w:kern w:val="0"/>
          <w:sz w:val="32"/>
          <w:szCs w:val="32"/>
          <w:lang w:val="en-US" w:eastAsia="zh-CN" w:bidi="ar-SA"/>
        </w:rPr>
        <w:t>、绿地</w:t>
      </w:r>
      <w:r>
        <w:rPr>
          <w:rFonts w:hint="eastAsia" w:ascii="Times New Roman" w:hAnsi="Times New Roman" w:eastAsia="仿宋_GB2312" w:cs="仿宋_GB2312"/>
          <w:snapToGrid w:val="0"/>
          <w:kern w:val="0"/>
          <w:sz w:val="32"/>
          <w:szCs w:val="32"/>
          <w:lang w:val="en-US" w:eastAsia="zh-CN" w:bidi="ar-SA"/>
        </w:rPr>
        <w:t>挖掘工程生态环境监督执法。</w:t>
      </w:r>
    </w:p>
    <w:p w14:paraId="445E3D6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第十</w:t>
      </w:r>
      <w:r>
        <w:rPr>
          <w:rFonts w:hint="eastAsia" w:cs="仿宋_GB2312"/>
          <w:b/>
          <w:bCs/>
          <w:snapToGrid w:val="0"/>
          <w:kern w:val="0"/>
          <w:sz w:val="32"/>
          <w:szCs w:val="32"/>
          <w:lang w:val="en-US" w:eastAsia="zh-CN" w:bidi="ar-SA"/>
        </w:rPr>
        <w:t>四</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eastAsia" w:cs="仿宋_GB2312"/>
          <w:snapToGrid w:val="0"/>
          <w:kern w:val="0"/>
          <w:sz w:val="32"/>
          <w:szCs w:val="32"/>
          <w:lang w:val="en-US" w:eastAsia="zh-CN" w:bidi="ar-SA"/>
        </w:rPr>
        <w:t>师市</w:t>
      </w:r>
      <w:r>
        <w:rPr>
          <w:rFonts w:hint="eastAsia" w:ascii="Times New Roman" w:hAnsi="Times New Roman" w:eastAsia="仿宋_GB2312" w:cs="仿宋_GB2312"/>
          <w:snapToGrid w:val="0"/>
          <w:kern w:val="0"/>
          <w:sz w:val="32"/>
          <w:szCs w:val="32"/>
          <w:lang w:val="en-US" w:eastAsia="zh-CN" w:bidi="ar-SA"/>
        </w:rPr>
        <w:t>道路交通、水务、电力、热力、燃气、通信等行业管理部门</w:t>
      </w:r>
      <w:r>
        <w:rPr>
          <w:rFonts w:hint="eastAsia" w:cs="仿宋_GB2312"/>
          <w:snapToGrid w:val="0"/>
          <w:kern w:val="0"/>
          <w:sz w:val="32"/>
          <w:szCs w:val="32"/>
          <w:lang w:val="en-US" w:eastAsia="zh-CN" w:bidi="ar-SA"/>
        </w:rPr>
        <w:t>、</w:t>
      </w:r>
      <w:r>
        <w:rPr>
          <w:rFonts w:hint="eastAsia" w:ascii="Times New Roman" w:hAnsi="Times New Roman" w:eastAsia="仿宋_GB2312" w:cs="仿宋_GB2312"/>
          <w:snapToGrid w:val="0"/>
          <w:kern w:val="0"/>
          <w:sz w:val="32"/>
          <w:szCs w:val="32"/>
          <w:lang w:val="en-US" w:eastAsia="zh-CN" w:bidi="ar-SA"/>
        </w:rPr>
        <w:t>各街道</w:t>
      </w:r>
      <w:r>
        <w:rPr>
          <w:rFonts w:hint="eastAsia" w:cs="仿宋_GB2312"/>
          <w:snapToGrid w:val="0"/>
          <w:kern w:val="0"/>
          <w:sz w:val="32"/>
          <w:szCs w:val="32"/>
          <w:lang w:val="en-US" w:eastAsia="zh-CN" w:bidi="ar-SA"/>
        </w:rPr>
        <w:t>办事处，</w:t>
      </w:r>
      <w:r>
        <w:rPr>
          <w:rFonts w:hint="eastAsia" w:ascii="Times New Roman" w:hAnsi="Times New Roman" w:eastAsia="仿宋_GB2312" w:cs="仿宋_GB2312"/>
          <w:snapToGrid w:val="0"/>
          <w:kern w:val="0"/>
          <w:sz w:val="32"/>
          <w:szCs w:val="32"/>
          <w:lang w:val="en-US" w:eastAsia="zh-CN" w:bidi="ar-SA"/>
        </w:rPr>
        <w:t>对本行业、系统内的占用挖掘道路</w:t>
      </w:r>
      <w:r>
        <w:rPr>
          <w:rFonts w:hint="eastAsia" w:cs="仿宋_GB2312"/>
          <w:snapToGrid w:val="0"/>
          <w:kern w:val="0"/>
          <w:sz w:val="32"/>
          <w:szCs w:val="32"/>
          <w:lang w:val="en-US" w:eastAsia="zh-CN" w:bidi="ar-SA"/>
        </w:rPr>
        <w:t>、绿地</w:t>
      </w:r>
      <w:r>
        <w:rPr>
          <w:rFonts w:hint="eastAsia" w:ascii="Times New Roman" w:hAnsi="Times New Roman" w:eastAsia="仿宋_GB2312" w:cs="仿宋_GB2312"/>
          <w:snapToGrid w:val="0"/>
          <w:kern w:val="0"/>
          <w:sz w:val="32"/>
          <w:szCs w:val="32"/>
          <w:lang w:val="en-US" w:eastAsia="zh-CN" w:bidi="ar-SA"/>
        </w:rPr>
        <w:t>项目承担监管责任，并对由本单位作为建设单位的项目承担主体责任、安全监管责任。</w:t>
      </w:r>
    </w:p>
    <w:p w14:paraId="204F7CD7">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各部门应当完善沟通协调机制，加强对所在行业占用挖掘道路</w:t>
      </w:r>
      <w:r>
        <w:rPr>
          <w:rFonts w:hint="eastAsia" w:cs="仿宋_GB2312"/>
          <w:snapToGrid w:val="0"/>
          <w:kern w:val="0"/>
          <w:sz w:val="32"/>
          <w:szCs w:val="32"/>
          <w:lang w:val="en-US" w:eastAsia="zh-CN" w:bidi="ar-SA"/>
        </w:rPr>
        <w:t>、绿地</w:t>
      </w:r>
      <w:r>
        <w:rPr>
          <w:rFonts w:hint="eastAsia" w:ascii="Times New Roman" w:hAnsi="Times New Roman" w:eastAsia="仿宋_GB2312" w:cs="仿宋_GB2312"/>
          <w:snapToGrid w:val="0"/>
          <w:kern w:val="0"/>
          <w:sz w:val="32"/>
          <w:szCs w:val="32"/>
          <w:lang w:val="en-US" w:eastAsia="zh-CN" w:bidi="ar-SA"/>
        </w:rPr>
        <w:t>行为的监管；及时修订本行业、系统内的信用评价体系，依法将项目设计（勘察）、施工、监理和检测等参建单位在占用挖掘道路</w:t>
      </w:r>
      <w:r>
        <w:rPr>
          <w:rFonts w:hint="eastAsia" w:cs="仿宋_GB2312"/>
          <w:snapToGrid w:val="0"/>
          <w:kern w:val="0"/>
          <w:sz w:val="32"/>
          <w:szCs w:val="32"/>
          <w:lang w:val="en-US" w:eastAsia="zh-CN" w:bidi="ar-SA"/>
        </w:rPr>
        <w:t>、绿地</w:t>
      </w:r>
      <w:r>
        <w:rPr>
          <w:rFonts w:hint="eastAsia" w:ascii="Times New Roman" w:hAnsi="Times New Roman" w:eastAsia="仿宋_GB2312" w:cs="仿宋_GB2312"/>
          <w:snapToGrid w:val="0"/>
          <w:kern w:val="0"/>
          <w:sz w:val="32"/>
          <w:szCs w:val="32"/>
          <w:lang w:val="en-US" w:eastAsia="zh-CN" w:bidi="ar-SA"/>
        </w:rPr>
        <w:t>项目实施过程中的失信行为纳入所在行业、系统的信用评价范围。</w:t>
      </w:r>
    </w:p>
    <w:p w14:paraId="78E22C2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黑体" w:cs="黑体"/>
          <w:b w:val="0"/>
          <w:bCs w:val="0"/>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第十</w:t>
      </w:r>
      <w:r>
        <w:rPr>
          <w:rFonts w:hint="eastAsia" w:cs="仿宋_GB2312"/>
          <w:b/>
          <w:bCs/>
          <w:snapToGrid w:val="0"/>
          <w:kern w:val="0"/>
          <w:sz w:val="32"/>
          <w:szCs w:val="32"/>
          <w:lang w:val="en-US" w:eastAsia="zh-CN" w:bidi="ar-SA"/>
        </w:rPr>
        <w:t>五</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城区交通、水业、供电、供热、燃气、通信等企业及下属国有企业，对投资建设及管理的占用道路</w:t>
      </w:r>
      <w:r>
        <w:rPr>
          <w:rFonts w:hint="eastAsia" w:cs="仿宋_GB2312"/>
          <w:snapToGrid w:val="0"/>
          <w:kern w:val="0"/>
          <w:sz w:val="32"/>
          <w:szCs w:val="32"/>
          <w:lang w:val="en-US" w:eastAsia="zh-CN" w:bidi="ar-SA"/>
        </w:rPr>
        <w:t>、绿地</w:t>
      </w:r>
      <w:r>
        <w:rPr>
          <w:rFonts w:hint="eastAsia" w:ascii="Times New Roman" w:hAnsi="Times New Roman" w:eastAsia="仿宋_GB2312" w:cs="仿宋_GB2312"/>
          <w:snapToGrid w:val="0"/>
          <w:kern w:val="0"/>
          <w:sz w:val="32"/>
          <w:szCs w:val="32"/>
          <w:lang w:val="en-US" w:eastAsia="zh-CN" w:bidi="ar-SA"/>
        </w:rPr>
        <w:t>挖掘项目的质量及安全承担主体责任；负责提交占用城市道路（绿地）挖掘申请材料，组织合规施工；</w:t>
      </w:r>
      <w:r>
        <w:rPr>
          <w:rFonts w:hint="eastAsia" w:ascii="Times New Roman" w:hAnsi="Times New Roman" w:eastAsia="仿宋_GB2312" w:cs="仿宋_GB2312"/>
          <w:snapToGrid w:val="0"/>
          <w:kern w:val="0"/>
          <w:sz w:val="32"/>
          <w:szCs w:val="32"/>
          <w:u w:val="none"/>
          <w:lang w:val="en-US" w:eastAsia="zh-CN" w:bidi="ar-SA"/>
        </w:rPr>
        <w:t>缴纳城市道路占用费</w:t>
      </w:r>
      <w:r>
        <w:rPr>
          <w:rFonts w:hint="eastAsia" w:cs="仿宋_GB2312"/>
          <w:snapToGrid w:val="0"/>
          <w:kern w:val="0"/>
          <w:sz w:val="32"/>
          <w:szCs w:val="32"/>
          <w:u w:val="none"/>
          <w:lang w:val="en-US" w:eastAsia="zh-CN" w:bidi="ar-SA"/>
        </w:rPr>
        <w:t>、</w:t>
      </w:r>
      <w:r>
        <w:rPr>
          <w:rFonts w:hint="eastAsia" w:ascii="Times New Roman" w:hAnsi="Times New Roman" w:eastAsia="仿宋_GB2312" w:cs="仿宋_GB2312"/>
          <w:snapToGrid w:val="0"/>
          <w:kern w:val="0"/>
          <w:sz w:val="32"/>
          <w:szCs w:val="32"/>
          <w:u w:val="none"/>
          <w:lang w:val="en-US" w:eastAsia="zh-CN" w:bidi="ar-SA"/>
        </w:rPr>
        <w:t>施工保证金</w:t>
      </w:r>
      <w:r>
        <w:rPr>
          <w:rFonts w:hint="eastAsia" w:ascii="Times New Roman" w:hAnsi="Times New Roman" w:eastAsia="仿宋_GB2312" w:cs="仿宋_GB2312"/>
          <w:snapToGrid w:val="0"/>
          <w:kern w:val="0"/>
          <w:sz w:val="32"/>
          <w:szCs w:val="32"/>
          <w:lang w:val="en-US" w:eastAsia="zh-CN" w:bidi="ar-SA"/>
        </w:rPr>
        <w:t>；承担修复费用</w:t>
      </w:r>
      <w:r>
        <w:rPr>
          <w:rFonts w:hint="eastAsia" w:cs="仿宋_GB2312"/>
          <w:snapToGrid w:val="0"/>
          <w:kern w:val="0"/>
          <w:sz w:val="32"/>
          <w:szCs w:val="32"/>
          <w:lang w:val="en-US" w:eastAsia="zh-CN" w:bidi="ar-SA"/>
        </w:rPr>
        <w:t>并保证施工质量</w:t>
      </w:r>
      <w:r>
        <w:rPr>
          <w:rFonts w:hint="eastAsia" w:ascii="Times New Roman" w:hAnsi="Times New Roman" w:eastAsia="仿宋_GB2312" w:cs="仿宋_GB2312"/>
          <w:snapToGrid w:val="0"/>
          <w:kern w:val="0"/>
          <w:sz w:val="32"/>
          <w:szCs w:val="32"/>
          <w:lang w:val="en-US" w:eastAsia="zh-CN" w:bidi="ar-SA"/>
        </w:rPr>
        <w:t>。</w:t>
      </w:r>
    </w:p>
    <w:p w14:paraId="719D3A56">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default" w:ascii="Times New Roman" w:hAnsi="Times New Roman" w:eastAsia="黑体" w:cs="黑体"/>
          <w:b w:val="0"/>
          <w:bCs w:val="0"/>
          <w:snapToGrid w:val="0"/>
          <w:kern w:val="0"/>
          <w:sz w:val="32"/>
          <w:szCs w:val="32"/>
          <w:lang w:val="en-US" w:eastAsia="zh-CN" w:bidi="ar-SA"/>
        </w:rPr>
      </w:pPr>
    </w:p>
    <w:p w14:paraId="069F59EF">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eastAsia" w:ascii="宋体" w:hAnsi="宋体" w:eastAsia="宋体" w:cs="宋体"/>
          <w:b w:val="0"/>
          <w:i w:val="0"/>
          <w:iCs w:val="0"/>
          <w:caps w:val="0"/>
          <w:strike w:val="0"/>
          <w:color w:val="auto"/>
          <w:spacing w:val="0"/>
          <w:sz w:val="32"/>
          <w:szCs w:val="32"/>
          <w:u w:val="none"/>
        </w:rPr>
      </w:pPr>
      <w:r>
        <w:rPr>
          <w:rFonts w:hint="default" w:ascii="Times New Roman" w:hAnsi="Times New Roman" w:eastAsia="黑体" w:cs="黑体"/>
          <w:b w:val="0"/>
          <w:bCs w:val="0"/>
          <w:snapToGrid w:val="0"/>
          <w:kern w:val="0"/>
          <w:sz w:val="32"/>
          <w:szCs w:val="32"/>
          <w:lang w:val="en-US" w:eastAsia="zh-CN" w:bidi="ar-SA"/>
        </w:rPr>
        <w:t>第</w:t>
      </w:r>
      <w:r>
        <w:rPr>
          <w:rFonts w:hint="eastAsia" w:eastAsia="黑体" w:cs="黑体"/>
          <w:b w:val="0"/>
          <w:bCs w:val="0"/>
          <w:snapToGrid w:val="0"/>
          <w:kern w:val="0"/>
          <w:sz w:val="32"/>
          <w:szCs w:val="32"/>
          <w:lang w:val="en-US" w:eastAsia="zh-CN" w:bidi="ar-SA"/>
        </w:rPr>
        <w:t>三</w:t>
      </w:r>
      <w:r>
        <w:rPr>
          <w:rFonts w:hint="default" w:ascii="Times New Roman" w:hAnsi="Times New Roman" w:eastAsia="黑体" w:cs="黑体"/>
          <w:b w:val="0"/>
          <w:bCs w:val="0"/>
          <w:snapToGrid w:val="0"/>
          <w:kern w:val="0"/>
          <w:sz w:val="32"/>
          <w:szCs w:val="32"/>
          <w:lang w:val="en-US" w:eastAsia="zh-CN" w:bidi="ar-SA"/>
        </w:rPr>
        <w:t>章  行政许可</w:t>
      </w:r>
    </w:p>
    <w:p w14:paraId="30E96F0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十</w:t>
      </w:r>
      <w:r>
        <w:rPr>
          <w:rFonts w:hint="eastAsia" w:cs="仿宋_GB2312"/>
          <w:b/>
          <w:bCs/>
          <w:snapToGrid w:val="0"/>
          <w:kern w:val="0"/>
          <w:sz w:val="32"/>
          <w:szCs w:val="32"/>
          <w:lang w:val="en-US" w:eastAsia="zh-CN" w:bidi="ar-SA"/>
        </w:rPr>
        <w:t>六</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因工程建设以及其他活动需要</w:t>
      </w:r>
      <w:r>
        <w:rPr>
          <w:rFonts w:hint="eastAsia" w:cs="仿宋_GB2312"/>
          <w:snapToGrid w:val="0"/>
          <w:kern w:val="0"/>
          <w:sz w:val="32"/>
          <w:szCs w:val="32"/>
          <w:lang w:val="en-US" w:eastAsia="zh-CN" w:bidi="ar-SA"/>
        </w:rPr>
        <w:t>临时</w:t>
      </w:r>
      <w:r>
        <w:rPr>
          <w:rFonts w:hint="default" w:ascii="Times New Roman" w:hAnsi="Times New Roman" w:eastAsia="仿宋_GB2312" w:cs="仿宋_GB2312"/>
          <w:snapToGrid w:val="0"/>
          <w:kern w:val="0"/>
          <w:sz w:val="32"/>
          <w:szCs w:val="32"/>
          <w:lang w:val="en-US" w:eastAsia="zh-CN" w:bidi="ar-SA"/>
        </w:rPr>
        <w:t>占用挖掘城市道路、绿地的，应当办理占用挖掘城市道路、绿地许可手续，</w:t>
      </w:r>
      <w:r>
        <w:rPr>
          <w:rFonts w:hint="eastAsia" w:ascii="Times New Roman" w:hAnsi="Times New Roman" w:eastAsia="仿宋_GB2312" w:cs="仿宋_GB2312"/>
          <w:snapToGrid w:val="0"/>
          <w:kern w:val="0"/>
          <w:sz w:val="32"/>
          <w:szCs w:val="32"/>
          <w:lang w:val="en-US" w:eastAsia="zh-CN" w:bidi="ar-SA"/>
        </w:rPr>
        <w:t>市政</w:t>
      </w:r>
      <w:r>
        <w:rPr>
          <w:rFonts w:hint="default" w:ascii="Times New Roman" w:hAnsi="Times New Roman" w:eastAsia="仿宋_GB2312" w:cs="仿宋_GB2312"/>
          <w:snapToGrid w:val="0"/>
          <w:kern w:val="0"/>
          <w:sz w:val="32"/>
          <w:szCs w:val="32"/>
          <w:lang w:val="en-US" w:eastAsia="zh-CN" w:bidi="ar-SA"/>
        </w:rPr>
        <w:t>道路和</w:t>
      </w:r>
      <w:r>
        <w:rPr>
          <w:rFonts w:hint="eastAsia" w:cs="仿宋_GB2312"/>
          <w:snapToGrid w:val="0"/>
          <w:kern w:val="0"/>
          <w:sz w:val="32"/>
          <w:szCs w:val="32"/>
          <w:lang w:val="en-US" w:eastAsia="zh-CN" w:bidi="ar-SA"/>
        </w:rPr>
        <w:t>绿化</w:t>
      </w:r>
      <w:r>
        <w:rPr>
          <w:rFonts w:hint="default" w:ascii="Times New Roman" w:hAnsi="Times New Roman" w:eastAsia="仿宋_GB2312" w:cs="仿宋_GB2312"/>
          <w:snapToGrid w:val="0"/>
          <w:kern w:val="0"/>
          <w:sz w:val="32"/>
          <w:szCs w:val="32"/>
          <w:lang w:val="en-US" w:eastAsia="zh-CN" w:bidi="ar-SA"/>
        </w:rPr>
        <w:t>日常维修养护作业除外</w:t>
      </w:r>
      <w:r>
        <w:rPr>
          <w:rFonts w:hint="eastAsia" w:cs="仿宋_GB2312"/>
          <w:snapToGrid w:val="0"/>
          <w:kern w:val="0"/>
          <w:sz w:val="32"/>
          <w:szCs w:val="32"/>
          <w:lang w:val="en-US" w:eastAsia="zh-CN" w:bidi="ar-SA"/>
        </w:rPr>
        <w:t>。</w:t>
      </w:r>
    </w:p>
    <w:p w14:paraId="44B770E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十</w:t>
      </w:r>
      <w:r>
        <w:rPr>
          <w:rFonts w:hint="eastAsia" w:cs="仿宋_GB2312"/>
          <w:b/>
          <w:bCs/>
          <w:snapToGrid w:val="0"/>
          <w:kern w:val="0"/>
          <w:sz w:val="32"/>
          <w:szCs w:val="32"/>
          <w:lang w:val="en-US" w:eastAsia="zh-CN" w:bidi="ar-SA"/>
        </w:rPr>
        <w:t>七</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eastAsia" w:ascii="Times New Roman" w:hAnsi="Times New Roman" w:eastAsia="仿宋_GB2312" w:cs="仿宋_GB2312"/>
          <w:snapToGrid w:val="0"/>
          <w:kern w:val="0"/>
          <w:sz w:val="32"/>
          <w:szCs w:val="32"/>
          <w:lang w:val="en-US" w:eastAsia="zh-CN" w:bidi="ar-SA"/>
        </w:rPr>
        <w:t>占</w:t>
      </w:r>
      <w:r>
        <w:rPr>
          <w:rFonts w:hint="eastAsia" w:cs="仿宋_GB2312"/>
          <w:snapToGrid w:val="0"/>
          <w:kern w:val="0"/>
          <w:sz w:val="32"/>
          <w:szCs w:val="32"/>
          <w:lang w:val="en-US" w:eastAsia="zh-CN" w:bidi="ar-SA"/>
        </w:rPr>
        <w:t>用挖掘城市道路、绿地</w:t>
      </w:r>
      <w:r>
        <w:rPr>
          <w:rFonts w:hint="default" w:ascii="Times New Roman" w:hAnsi="Times New Roman" w:eastAsia="仿宋_GB2312" w:cs="仿宋_GB2312"/>
          <w:snapToGrid w:val="0"/>
          <w:kern w:val="0"/>
          <w:sz w:val="32"/>
          <w:szCs w:val="32"/>
          <w:lang w:val="en-US" w:eastAsia="zh-CN" w:bidi="ar-SA"/>
        </w:rPr>
        <w:t>许可办理的情形包括：</w:t>
      </w:r>
    </w:p>
    <w:p w14:paraId="0421B22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（一）占用挖掘城市道路</w:t>
      </w:r>
      <w:r>
        <w:rPr>
          <w:rFonts w:hint="eastAsia" w:cs="仿宋_GB2312"/>
          <w:snapToGrid w:val="0"/>
          <w:kern w:val="0"/>
          <w:sz w:val="32"/>
          <w:szCs w:val="32"/>
          <w:lang w:val="en-US" w:eastAsia="zh-CN" w:bidi="ar-SA"/>
        </w:rPr>
        <w:t>、绿地</w:t>
      </w:r>
      <w:r>
        <w:rPr>
          <w:rFonts w:hint="default" w:ascii="Times New Roman" w:hAnsi="Times New Roman" w:eastAsia="仿宋_GB2312" w:cs="仿宋_GB2312"/>
          <w:snapToGrid w:val="0"/>
          <w:kern w:val="0"/>
          <w:sz w:val="32"/>
          <w:szCs w:val="32"/>
          <w:lang w:val="en-US" w:eastAsia="zh-CN" w:bidi="ar-SA"/>
        </w:rPr>
        <w:t>（含开设</w:t>
      </w:r>
      <w:r>
        <w:rPr>
          <w:rFonts w:hint="eastAsia" w:cs="仿宋_GB2312"/>
          <w:snapToGrid w:val="0"/>
          <w:kern w:val="0"/>
          <w:sz w:val="32"/>
          <w:szCs w:val="32"/>
          <w:lang w:val="en-US" w:eastAsia="zh-CN" w:bidi="ar-SA"/>
        </w:rPr>
        <w:t>永久或</w:t>
      </w:r>
      <w:r>
        <w:rPr>
          <w:rFonts w:hint="default" w:ascii="Times New Roman" w:hAnsi="Times New Roman" w:eastAsia="仿宋_GB2312" w:cs="仿宋_GB2312"/>
          <w:snapToGrid w:val="0"/>
          <w:kern w:val="0"/>
          <w:sz w:val="32"/>
          <w:szCs w:val="32"/>
          <w:lang w:val="en-US" w:eastAsia="zh-CN" w:bidi="ar-SA"/>
        </w:rPr>
        <w:t>临时路口、搭接市政道路）的；</w:t>
      </w:r>
    </w:p>
    <w:p w14:paraId="2E26BA8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（二）占用</w:t>
      </w:r>
      <w:r>
        <w:rPr>
          <w:rFonts w:hint="eastAsia" w:cs="仿宋_GB2312"/>
          <w:snapToGrid w:val="0"/>
          <w:kern w:val="0"/>
          <w:sz w:val="32"/>
          <w:szCs w:val="32"/>
          <w:lang w:val="en-US" w:eastAsia="zh-CN" w:bidi="ar-SA"/>
        </w:rPr>
        <w:t>城市道路、绿地</w:t>
      </w:r>
      <w:r>
        <w:rPr>
          <w:rFonts w:hint="default" w:ascii="Times New Roman" w:hAnsi="Times New Roman" w:eastAsia="仿宋_GB2312" w:cs="仿宋_GB2312"/>
          <w:snapToGrid w:val="0"/>
          <w:kern w:val="0"/>
          <w:sz w:val="32"/>
          <w:szCs w:val="32"/>
          <w:lang w:val="en-US" w:eastAsia="zh-CN" w:bidi="ar-SA"/>
        </w:rPr>
        <w:t>不涉及挖掘</w:t>
      </w:r>
      <w:r>
        <w:rPr>
          <w:rFonts w:hint="eastAsia" w:cs="仿宋_GB2312"/>
          <w:snapToGrid w:val="0"/>
          <w:kern w:val="0"/>
          <w:sz w:val="32"/>
          <w:szCs w:val="32"/>
          <w:lang w:val="en-US" w:eastAsia="zh-CN" w:bidi="ar-SA"/>
        </w:rPr>
        <w:t>，用于堆料、搭建临时设施的；</w:t>
      </w:r>
    </w:p>
    <w:p w14:paraId="1DFD3E1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（三）应急抢修工程</w:t>
      </w:r>
      <w:r>
        <w:rPr>
          <w:rFonts w:hint="eastAsia" w:cs="仿宋_GB2312"/>
          <w:snapToGrid w:val="0"/>
          <w:kern w:val="0"/>
          <w:sz w:val="32"/>
          <w:szCs w:val="32"/>
          <w:lang w:val="en-US" w:eastAsia="zh-CN" w:bidi="ar-SA"/>
        </w:rPr>
        <w:t>临时</w:t>
      </w:r>
      <w:r>
        <w:rPr>
          <w:rFonts w:hint="default" w:ascii="Times New Roman" w:hAnsi="Times New Roman" w:eastAsia="仿宋_GB2312" w:cs="仿宋_GB2312"/>
          <w:snapToGrid w:val="0"/>
          <w:kern w:val="0"/>
          <w:sz w:val="32"/>
          <w:szCs w:val="32"/>
          <w:lang w:val="en-US" w:eastAsia="zh-CN" w:bidi="ar-SA"/>
        </w:rPr>
        <w:t>占用挖掘城市道路、绿地的；</w:t>
      </w:r>
    </w:p>
    <w:p w14:paraId="0EB5D91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（四）小型市政公共服务接入施工的；</w:t>
      </w:r>
    </w:p>
    <w:p w14:paraId="1576677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（五）</w:t>
      </w:r>
      <w:r>
        <w:rPr>
          <w:rFonts w:hint="eastAsia" w:cs="仿宋_GB2312"/>
          <w:snapToGrid w:val="0"/>
          <w:kern w:val="0"/>
          <w:sz w:val="32"/>
          <w:szCs w:val="32"/>
          <w:lang w:val="en-US" w:eastAsia="zh-CN" w:bidi="ar-SA"/>
        </w:rPr>
        <w:t>公益活动、商业经营等其他需要临时占用或挖掘城市道路、绿地的</w:t>
      </w:r>
      <w:r>
        <w:rPr>
          <w:rFonts w:hint="default" w:ascii="Times New Roman" w:hAnsi="Times New Roman" w:eastAsia="仿宋_GB2312" w:cs="仿宋_GB2312"/>
          <w:snapToGrid w:val="0"/>
          <w:kern w:val="0"/>
          <w:sz w:val="32"/>
          <w:szCs w:val="32"/>
          <w:lang w:val="en-US" w:eastAsia="zh-CN" w:bidi="ar-SA"/>
        </w:rPr>
        <w:t>情形。</w:t>
      </w:r>
    </w:p>
    <w:p w14:paraId="65B22CF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十八</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办理</w:t>
      </w:r>
      <w:r>
        <w:rPr>
          <w:rFonts w:hint="eastAsia" w:ascii="Times New Roman" w:hAnsi="Times New Roman" w:eastAsia="仿宋_GB2312" w:cs="仿宋_GB2312"/>
          <w:snapToGrid w:val="0"/>
          <w:kern w:val="0"/>
          <w:sz w:val="32"/>
          <w:szCs w:val="32"/>
          <w:lang w:val="en-US" w:eastAsia="zh-CN" w:bidi="ar-SA"/>
        </w:rPr>
        <w:t>占</w:t>
      </w:r>
      <w:r>
        <w:rPr>
          <w:rFonts w:hint="eastAsia" w:cs="仿宋_GB2312"/>
          <w:snapToGrid w:val="0"/>
          <w:kern w:val="0"/>
          <w:sz w:val="32"/>
          <w:szCs w:val="32"/>
          <w:lang w:val="en-US" w:eastAsia="zh-CN" w:bidi="ar-SA"/>
        </w:rPr>
        <w:t>用城市道路</w:t>
      </w:r>
      <w:r>
        <w:rPr>
          <w:rFonts w:hint="eastAsia" w:ascii="Times New Roman" w:hAnsi="Times New Roman" w:eastAsia="仿宋_GB2312" w:cs="仿宋_GB2312"/>
          <w:snapToGrid w:val="0"/>
          <w:kern w:val="0"/>
          <w:sz w:val="32"/>
          <w:szCs w:val="32"/>
          <w:lang w:val="en-US" w:eastAsia="zh-CN" w:bidi="ar-SA"/>
        </w:rPr>
        <w:t>挖掘</w:t>
      </w:r>
      <w:r>
        <w:rPr>
          <w:rFonts w:hint="default" w:ascii="Times New Roman" w:hAnsi="Times New Roman" w:eastAsia="仿宋_GB2312" w:cs="仿宋_GB2312"/>
          <w:snapToGrid w:val="0"/>
          <w:kern w:val="0"/>
          <w:sz w:val="32"/>
          <w:szCs w:val="32"/>
          <w:lang w:val="en-US" w:eastAsia="zh-CN" w:bidi="ar-SA"/>
        </w:rPr>
        <w:t>许可</w:t>
      </w:r>
      <w:r>
        <w:rPr>
          <w:rFonts w:hint="eastAsia" w:ascii="Times New Roman" w:hAnsi="Times New Roman" w:eastAsia="仿宋_GB2312" w:cs="仿宋_GB2312"/>
          <w:snapToGrid w:val="0"/>
          <w:kern w:val="0"/>
          <w:sz w:val="32"/>
          <w:szCs w:val="32"/>
          <w:lang w:val="en-US" w:eastAsia="zh-CN" w:bidi="ar-SA"/>
        </w:rPr>
        <w:t>需提交以下材料：</w:t>
      </w:r>
    </w:p>
    <w:p w14:paraId="6275AD3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（一）</w:t>
      </w:r>
      <w:r>
        <w:rPr>
          <w:rFonts w:hint="eastAsia" w:cs="仿宋_GB2312"/>
          <w:snapToGrid w:val="0"/>
          <w:kern w:val="0"/>
          <w:sz w:val="32"/>
          <w:szCs w:val="32"/>
          <w:lang w:val="en-US" w:eastAsia="zh-CN" w:bidi="ar-SA"/>
        </w:rPr>
        <w:t>城市道路占用挖掘申请表</w:t>
      </w:r>
      <w:r>
        <w:rPr>
          <w:rFonts w:hint="default" w:ascii="Times New Roman" w:hAnsi="Times New Roman" w:eastAsia="仿宋_GB2312" w:cs="仿宋_GB2312"/>
          <w:snapToGrid w:val="0"/>
          <w:kern w:val="0"/>
          <w:sz w:val="32"/>
          <w:szCs w:val="32"/>
          <w:lang w:val="en-US" w:eastAsia="zh-CN" w:bidi="ar-SA"/>
        </w:rPr>
        <w:t>；</w:t>
      </w:r>
    </w:p>
    <w:p w14:paraId="162B91A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（二）施工现场位置示意图</w:t>
      </w:r>
      <w:r>
        <w:rPr>
          <w:rFonts w:hint="eastAsia" w:cs="仿宋_GB2312"/>
          <w:snapToGrid w:val="0"/>
          <w:kern w:val="0"/>
          <w:sz w:val="32"/>
          <w:szCs w:val="32"/>
          <w:lang w:val="en-US" w:eastAsia="zh-CN" w:bidi="ar-SA"/>
        </w:rPr>
        <w:t>，施工区域</w:t>
      </w:r>
      <w:r>
        <w:rPr>
          <w:rFonts w:hint="default" w:ascii="Times New Roman" w:hAnsi="Times New Roman" w:eastAsia="仿宋_GB2312" w:cs="仿宋_GB2312"/>
          <w:snapToGrid w:val="0"/>
          <w:kern w:val="0"/>
          <w:sz w:val="32"/>
          <w:szCs w:val="32"/>
          <w:lang w:val="en-US" w:eastAsia="zh-CN" w:bidi="ar-SA"/>
        </w:rPr>
        <w:t>现状照片；</w:t>
      </w:r>
    </w:p>
    <w:p w14:paraId="2A87952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（三）</w:t>
      </w:r>
      <w:r>
        <w:rPr>
          <w:rFonts w:hint="default" w:ascii="Times New Roman" w:hAnsi="Times New Roman" w:eastAsia="仿宋_GB2312" w:cs="仿宋_GB2312"/>
          <w:snapToGrid w:val="0"/>
          <w:kern w:val="0"/>
          <w:sz w:val="32"/>
          <w:szCs w:val="32"/>
          <w:lang w:val="en-US" w:eastAsia="zh-CN" w:bidi="ar-SA"/>
        </w:rPr>
        <w:t>申请人营业执照及法人身份证复印件，授权委托书及授权委托人身份证复印件（个人申请需提供身份证明）；</w:t>
      </w:r>
    </w:p>
    <w:p w14:paraId="0E2FC62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cs="仿宋_GB2312"/>
          <w:snapToGrid w:val="0"/>
          <w:kern w:val="0"/>
          <w:sz w:val="32"/>
          <w:szCs w:val="32"/>
          <w:lang w:val="en-US" w:eastAsia="zh-CN" w:bidi="ar-SA"/>
        </w:rPr>
        <w:t>（四）</w:t>
      </w:r>
      <w:r>
        <w:rPr>
          <w:rFonts w:hint="default" w:ascii="Times New Roman" w:hAnsi="Times New Roman" w:eastAsia="仿宋_GB2312" w:cs="仿宋_GB2312"/>
          <w:snapToGrid w:val="0"/>
          <w:kern w:val="0"/>
          <w:sz w:val="32"/>
          <w:szCs w:val="32"/>
          <w:lang w:val="en-US" w:eastAsia="zh-CN" w:bidi="ar-SA"/>
        </w:rPr>
        <w:t>占用</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挖掘</w:t>
      </w:r>
      <w:r>
        <w:rPr>
          <w:rFonts w:hint="eastAsia" w:cs="仿宋_GB2312"/>
          <w:snapToGrid w:val="0"/>
          <w:kern w:val="0"/>
          <w:sz w:val="32"/>
          <w:szCs w:val="32"/>
          <w:lang w:val="en-US" w:eastAsia="zh-CN" w:bidi="ar-SA"/>
        </w:rPr>
        <w:t>、修复</w:t>
      </w:r>
      <w:r>
        <w:rPr>
          <w:rFonts w:hint="default" w:ascii="Times New Roman" w:hAnsi="Times New Roman" w:eastAsia="仿宋_GB2312" w:cs="仿宋_GB2312"/>
          <w:snapToGrid w:val="0"/>
          <w:kern w:val="0"/>
          <w:sz w:val="32"/>
          <w:szCs w:val="32"/>
          <w:lang w:val="en-US" w:eastAsia="zh-CN" w:bidi="ar-SA"/>
        </w:rPr>
        <w:t>施工方案</w:t>
      </w:r>
      <w:r>
        <w:rPr>
          <w:rFonts w:hint="eastAsia" w:cs="仿宋_GB2312"/>
          <w:snapToGrid w:val="0"/>
          <w:kern w:val="0"/>
          <w:sz w:val="32"/>
          <w:szCs w:val="32"/>
          <w:lang w:val="en-US" w:eastAsia="zh-CN" w:bidi="ar-SA"/>
        </w:rPr>
        <w:t>（含</w:t>
      </w:r>
      <w:r>
        <w:rPr>
          <w:rFonts w:hint="default" w:ascii="Times New Roman" w:hAnsi="Times New Roman" w:eastAsia="仿宋_GB2312" w:cs="仿宋_GB2312"/>
          <w:snapToGrid w:val="0"/>
          <w:kern w:val="0"/>
          <w:sz w:val="32"/>
          <w:szCs w:val="32"/>
          <w:lang w:val="en-US" w:eastAsia="zh-CN" w:bidi="ar-SA"/>
        </w:rPr>
        <w:t>材料标准、施工工艺、围挡设置及拆除计划</w:t>
      </w:r>
      <w:r>
        <w:rPr>
          <w:rFonts w:hint="eastAsia"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修复效果图、质保承诺</w:t>
      </w:r>
      <w:r>
        <w:rPr>
          <w:rFonts w:hint="eastAsia" w:cs="仿宋_GB2312"/>
          <w:snapToGrid w:val="0"/>
          <w:kern w:val="0"/>
          <w:sz w:val="32"/>
          <w:szCs w:val="32"/>
          <w:lang w:val="en-US" w:eastAsia="zh-CN" w:bidi="ar-SA"/>
        </w:rPr>
        <w:t>）</w:t>
      </w:r>
      <w:r>
        <w:rPr>
          <w:rFonts w:hint="eastAsia" w:ascii="Times New Roman" w:hAnsi="Times New Roman" w:eastAsia="仿宋_GB2312" w:cs="仿宋_GB2312"/>
          <w:snapToGrid w:val="0"/>
          <w:kern w:val="0"/>
          <w:sz w:val="32"/>
          <w:szCs w:val="32"/>
          <w:lang w:val="en-US" w:eastAsia="zh-CN" w:bidi="ar-SA"/>
        </w:rPr>
        <w:t>；</w:t>
      </w:r>
    </w:p>
    <w:p w14:paraId="33760D8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五</w:t>
      </w:r>
      <w:r>
        <w:rPr>
          <w:rFonts w:hint="default" w:ascii="Times New Roman" w:hAnsi="Times New Roman" w:eastAsia="仿宋_GB2312" w:cs="仿宋_GB2312"/>
          <w:snapToGrid w:val="0"/>
          <w:kern w:val="0"/>
          <w:sz w:val="32"/>
          <w:szCs w:val="32"/>
          <w:lang w:val="en-US" w:eastAsia="zh-CN" w:bidi="ar-SA"/>
        </w:rPr>
        <w:t>）工程立项、规划等相关批复文件（工程建设类申请需提交）；</w:t>
      </w:r>
    </w:p>
    <w:p w14:paraId="18F6EC3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六</w:t>
      </w:r>
      <w:r>
        <w:rPr>
          <w:rFonts w:hint="default" w:ascii="Times New Roman" w:hAnsi="Times New Roman" w:eastAsia="仿宋_GB2312" w:cs="仿宋_GB2312"/>
          <w:snapToGrid w:val="0"/>
          <w:kern w:val="0"/>
          <w:sz w:val="32"/>
          <w:szCs w:val="32"/>
          <w:lang w:val="en-US" w:eastAsia="zh-CN" w:bidi="ar-SA"/>
        </w:rPr>
        <w:t>）</w:t>
      </w:r>
      <w:r>
        <w:rPr>
          <w:rFonts w:hint="eastAsia" w:ascii="Times New Roman" w:hAnsi="Times New Roman" w:eastAsia="仿宋_GB2312" w:cs="仿宋_GB2312"/>
          <w:snapToGrid w:val="0"/>
          <w:kern w:val="0"/>
          <w:sz w:val="32"/>
          <w:szCs w:val="32"/>
          <w:lang w:val="en-US" w:eastAsia="zh-CN" w:bidi="ar-SA"/>
        </w:rPr>
        <w:t>若需道路封闭施工须提供公安交警部门审核通过的交通组织方案；</w:t>
      </w:r>
    </w:p>
    <w:p w14:paraId="1932DED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七</w:t>
      </w:r>
      <w:r>
        <w:rPr>
          <w:rFonts w:hint="default" w:ascii="Times New Roman" w:hAnsi="Times New Roman" w:eastAsia="仿宋_GB2312" w:cs="仿宋_GB2312"/>
          <w:snapToGrid w:val="0"/>
          <w:kern w:val="0"/>
          <w:sz w:val="32"/>
          <w:szCs w:val="32"/>
          <w:lang w:val="en-US" w:eastAsia="zh-CN" w:bidi="ar-SA"/>
        </w:rPr>
        <w:t>）</w:t>
      </w:r>
      <w:r>
        <w:rPr>
          <w:rFonts w:hint="eastAsia" w:ascii="Times New Roman" w:hAnsi="Times New Roman" w:eastAsia="仿宋_GB2312" w:cs="仿宋_GB2312"/>
          <w:snapToGrid w:val="0"/>
          <w:kern w:val="0"/>
          <w:sz w:val="32"/>
          <w:szCs w:val="32"/>
          <w:lang w:val="en-US" w:eastAsia="zh-CN" w:bidi="ar-SA"/>
        </w:rPr>
        <w:t>地下管线探测</w:t>
      </w:r>
      <w:r>
        <w:rPr>
          <w:rFonts w:hint="eastAsia" w:cs="仿宋_GB2312"/>
          <w:snapToGrid w:val="0"/>
          <w:kern w:val="0"/>
          <w:sz w:val="32"/>
          <w:szCs w:val="32"/>
          <w:lang w:val="en-US" w:eastAsia="zh-CN" w:bidi="ar-SA"/>
        </w:rPr>
        <w:t>证明材料</w:t>
      </w:r>
      <w:r>
        <w:rPr>
          <w:rFonts w:hint="eastAsia" w:ascii="Times New Roman" w:hAnsi="Times New Roman" w:eastAsia="仿宋_GB2312" w:cs="仿宋_GB2312"/>
          <w:snapToGrid w:val="0"/>
          <w:kern w:val="0"/>
          <w:sz w:val="32"/>
          <w:szCs w:val="32"/>
          <w:lang w:val="en-US" w:eastAsia="zh-CN" w:bidi="ar-SA"/>
        </w:rPr>
        <w:t>及周边设施保护方案；</w:t>
      </w:r>
    </w:p>
    <w:p w14:paraId="67F9183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八</w:t>
      </w:r>
      <w:r>
        <w:rPr>
          <w:rFonts w:hint="default"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按规定需缴纳相关费用的凭证；</w:t>
      </w:r>
    </w:p>
    <w:p w14:paraId="75114B7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九</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安全文明施工承诺书；</w:t>
      </w:r>
    </w:p>
    <w:p w14:paraId="481F471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十</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法律、行政法规规定的其他条件。</w:t>
      </w:r>
    </w:p>
    <w:p w14:paraId="5E7FBDC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632" w:leftChars="200" w:firstLine="0" w:firstLineChars="0"/>
        <w:jc w:val="both"/>
        <w:textAlignment w:val="auto"/>
        <w:rPr>
          <w:rFonts w:hint="eastAsia"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十</w:t>
      </w:r>
      <w:r>
        <w:rPr>
          <w:rFonts w:hint="eastAsia" w:cs="仿宋_GB2312"/>
          <w:b/>
          <w:bCs/>
          <w:snapToGrid w:val="0"/>
          <w:kern w:val="0"/>
          <w:sz w:val="32"/>
          <w:szCs w:val="32"/>
          <w:lang w:val="en-US" w:eastAsia="zh-CN" w:bidi="ar-SA"/>
        </w:rPr>
        <w:t>九</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办理</w:t>
      </w:r>
      <w:r>
        <w:rPr>
          <w:rFonts w:hint="eastAsia" w:ascii="Times New Roman" w:hAnsi="Times New Roman" w:eastAsia="仿宋_GB2312" w:cs="仿宋_GB2312"/>
          <w:snapToGrid w:val="0"/>
          <w:kern w:val="0"/>
          <w:sz w:val="32"/>
          <w:szCs w:val="32"/>
          <w:lang w:val="en-US" w:eastAsia="zh-CN" w:bidi="ar-SA"/>
        </w:rPr>
        <w:t>占</w:t>
      </w:r>
      <w:r>
        <w:rPr>
          <w:rFonts w:hint="eastAsia" w:cs="仿宋_GB2312"/>
          <w:snapToGrid w:val="0"/>
          <w:kern w:val="0"/>
          <w:sz w:val="32"/>
          <w:szCs w:val="32"/>
          <w:lang w:val="en-US" w:eastAsia="zh-CN" w:bidi="ar-SA"/>
        </w:rPr>
        <w:t>用绿地施工</w:t>
      </w:r>
      <w:r>
        <w:rPr>
          <w:rFonts w:hint="default" w:ascii="Times New Roman" w:hAnsi="Times New Roman" w:eastAsia="仿宋_GB2312" w:cs="仿宋_GB2312"/>
          <w:snapToGrid w:val="0"/>
          <w:kern w:val="0"/>
          <w:sz w:val="32"/>
          <w:szCs w:val="32"/>
          <w:lang w:val="en-US" w:eastAsia="zh-CN" w:bidi="ar-SA"/>
        </w:rPr>
        <w:t>许可</w:t>
      </w:r>
      <w:r>
        <w:rPr>
          <w:rFonts w:hint="eastAsia" w:ascii="Times New Roman" w:hAnsi="Times New Roman" w:eastAsia="仿宋_GB2312" w:cs="仿宋_GB2312"/>
          <w:snapToGrid w:val="0"/>
          <w:kern w:val="0"/>
          <w:sz w:val="32"/>
          <w:szCs w:val="32"/>
          <w:lang w:val="en-US" w:eastAsia="zh-CN" w:bidi="ar-SA"/>
        </w:rPr>
        <w:t>需提交以下材料：</w:t>
      </w:r>
    </w:p>
    <w:p w14:paraId="67F22E8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（一）</w:t>
      </w:r>
      <w:r>
        <w:rPr>
          <w:rFonts w:hint="default" w:ascii="Times New Roman" w:hAnsi="Times New Roman" w:eastAsia="仿宋_GB2312" w:cs="仿宋_GB2312"/>
          <w:snapToGrid w:val="0"/>
          <w:kern w:val="0"/>
          <w:sz w:val="32"/>
          <w:szCs w:val="32"/>
          <w:u w:val="none"/>
          <w:lang w:val="en-US" w:eastAsia="zh-CN" w:bidi="ar-SA"/>
        </w:rPr>
        <w:t>占用绿地</w:t>
      </w:r>
      <w:r>
        <w:rPr>
          <w:rFonts w:hint="eastAsia" w:cs="仿宋_GB2312"/>
          <w:snapToGrid w:val="0"/>
          <w:kern w:val="0"/>
          <w:sz w:val="32"/>
          <w:szCs w:val="32"/>
          <w:u w:val="none"/>
          <w:lang w:val="en-US" w:eastAsia="zh-CN" w:bidi="ar-SA"/>
        </w:rPr>
        <w:t>申请</w:t>
      </w:r>
      <w:r>
        <w:rPr>
          <w:rFonts w:hint="default" w:ascii="Times New Roman" w:hAnsi="Times New Roman" w:eastAsia="仿宋_GB2312" w:cs="仿宋_GB2312"/>
          <w:snapToGrid w:val="0"/>
          <w:kern w:val="0"/>
          <w:sz w:val="32"/>
          <w:szCs w:val="32"/>
          <w:u w:val="none"/>
          <w:lang w:val="en-US" w:eastAsia="zh-CN" w:bidi="ar-SA"/>
        </w:rPr>
        <w:t>表</w:t>
      </w:r>
      <w:r>
        <w:rPr>
          <w:rFonts w:hint="eastAsia" w:cs="仿宋_GB2312"/>
          <w:snapToGrid w:val="0"/>
          <w:kern w:val="0"/>
          <w:sz w:val="32"/>
          <w:szCs w:val="32"/>
          <w:u w:val="none"/>
          <w:lang w:val="en-US" w:eastAsia="zh-CN" w:bidi="ar-SA"/>
        </w:rPr>
        <w:t>（涉及树木伐移的需提交树木伐移申请）</w:t>
      </w:r>
      <w:r>
        <w:rPr>
          <w:rFonts w:hint="default" w:ascii="Times New Roman" w:hAnsi="Times New Roman" w:eastAsia="仿宋_GB2312" w:cs="仿宋_GB2312"/>
          <w:snapToGrid w:val="0"/>
          <w:kern w:val="0"/>
          <w:sz w:val="32"/>
          <w:szCs w:val="32"/>
          <w:lang w:val="en-US" w:eastAsia="zh-CN" w:bidi="ar-SA"/>
        </w:rPr>
        <w:t>；</w:t>
      </w:r>
    </w:p>
    <w:p w14:paraId="0AD82AD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（二）</w:t>
      </w:r>
      <w:r>
        <w:rPr>
          <w:rFonts w:hint="default" w:ascii="Times New Roman" w:hAnsi="Times New Roman" w:eastAsia="仿宋_GB2312" w:cs="仿宋_GB2312"/>
          <w:snapToGrid w:val="0"/>
          <w:kern w:val="0"/>
          <w:sz w:val="32"/>
          <w:szCs w:val="32"/>
          <w:lang w:val="en-US" w:eastAsia="zh-CN" w:bidi="ar-SA"/>
        </w:rPr>
        <w:t>申请人营业执照及法人身份证复印件，授权委托书及授权委托人身份证复印件（个人申请需提供身份证明）；</w:t>
      </w:r>
    </w:p>
    <w:p w14:paraId="68FD4D5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（三）</w:t>
      </w:r>
      <w:r>
        <w:rPr>
          <w:rFonts w:hint="default" w:ascii="Times New Roman" w:hAnsi="Times New Roman" w:eastAsia="仿宋_GB2312" w:cs="仿宋_GB2312"/>
          <w:snapToGrid w:val="0"/>
          <w:kern w:val="0"/>
          <w:sz w:val="32"/>
          <w:szCs w:val="32"/>
          <w:lang w:val="en-US" w:eastAsia="zh-CN" w:bidi="ar-SA"/>
        </w:rPr>
        <w:t>施工现场位置示意图、绿地现状照片及相关权属证明；</w:t>
      </w:r>
    </w:p>
    <w:p w14:paraId="357E4E7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cs="仿宋_GB2312"/>
          <w:snapToGrid w:val="0"/>
          <w:kern w:val="0"/>
          <w:sz w:val="32"/>
          <w:szCs w:val="32"/>
          <w:lang w:val="en-US" w:eastAsia="zh-CN" w:bidi="ar-SA"/>
        </w:rPr>
        <w:t>（四）占用绿地施工</w:t>
      </w:r>
      <w:r>
        <w:rPr>
          <w:rFonts w:hint="default" w:ascii="Times New Roman" w:hAnsi="Times New Roman" w:eastAsia="仿宋_GB2312" w:cs="仿宋_GB2312"/>
          <w:snapToGrid w:val="0"/>
          <w:kern w:val="0"/>
          <w:sz w:val="32"/>
          <w:szCs w:val="32"/>
          <w:lang w:val="en-US" w:eastAsia="zh-CN" w:bidi="ar-SA"/>
        </w:rPr>
        <w:t>方案（含施工时序、安全文明施工措施、绿地保护措施、围挡设置及拆除计划）；</w:t>
      </w:r>
    </w:p>
    <w:p w14:paraId="32A2796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cs="仿宋_GB2312"/>
          <w:snapToGrid w:val="0"/>
          <w:kern w:val="0"/>
          <w:sz w:val="32"/>
          <w:szCs w:val="32"/>
          <w:lang w:val="en-US" w:eastAsia="zh-CN" w:bidi="ar-SA"/>
        </w:rPr>
        <w:t>（五）</w:t>
      </w:r>
      <w:r>
        <w:rPr>
          <w:rFonts w:hint="default" w:ascii="Times New Roman" w:hAnsi="Times New Roman" w:eastAsia="仿宋_GB2312" w:cs="仿宋_GB2312"/>
          <w:snapToGrid w:val="0"/>
          <w:kern w:val="0"/>
          <w:sz w:val="32"/>
          <w:szCs w:val="32"/>
          <w:lang w:val="en-US" w:eastAsia="zh-CN" w:bidi="ar-SA"/>
        </w:rPr>
        <w:t>绿化恢复</w:t>
      </w:r>
      <w:r>
        <w:rPr>
          <w:rFonts w:hint="eastAsia" w:cs="仿宋_GB2312"/>
          <w:snapToGrid w:val="0"/>
          <w:kern w:val="0"/>
          <w:sz w:val="32"/>
          <w:szCs w:val="32"/>
          <w:lang w:val="en-US" w:eastAsia="zh-CN" w:bidi="ar-SA"/>
        </w:rPr>
        <w:t>方案</w:t>
      </w:r>
      <w:r>
        <w:rPr>
          <w:rFonts w:hint="default" w:ascii="Times New Roman" w:hAnsi="Times New Roman" w:eastAsia="仿宋_GB2312" w:cs="仿宋_GB2312"/>
          <w:snapToGrid w:val="0"/>
          <w:kern w:val="0"/>
          <w:sz w:val="32"/>
          <w:szCs w:val="32"/>
          <w:lang w:val="en-US" w:eastAsia="zh-CN" w:bidi="ar-SA"/>
        </w:rPr>
        <w:t>（含恢复面积、植物配置、苗木规格、养护周期、费用预算）；</w:t>
      </w:r>
    </w:p>
    <w:p w14:paraId="5CF2D16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cs="仿宋_GB2312"/>
          <w:snapToGrid w:val="0"/>
          <w:kern w:val="0"/>
          <w:sz w:val="32"/>
          <w:szCs w:val="32"/>
          <w:lang w:val="en-US" w:eastAsia="zh-CN" w:bidi="ar-SA"/>
        </w:rPr>
        <w:t>（六）</w:t>
      </w:r>
      <w:r>
        <w:rPr>
          <w:rFonts w:hint="default" w:ascii="Times New Roman" w:hAnsi="Times New Roman" w:eastAsia="仿宋_GB2312" w:cs="仿宋_GB2312"/>
          <w:snapToGrid w:val="0"/>
          <w:kern w:val="0"/>
          <w:sz w:val="32"/>
          <w:szCs w:val="32"/>
          <w:lang w:val="en-US" w:eastAsia="zh-CN" w:bidi="ar-SA"/>
        </w:rPr>
        <w:t>安全文明施工承诺书、绿化保护承诺书；</w:t>
      </w:r>
    </w:p>
    <w:p w14:paraId="5E1CF15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七</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工程立项、规划等相关批复文件（工程建设类申请需提交）；</w:t>
      </w:r>
    </w:p>
    <w:p w14:paraId="36B52C9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cs="仿宋_GB2312"/>
          <w:snapToGrid w:val="0"/>
          <w:kern w:val="0"/>
          <w:sz w:val="32"/>
          <w:szCs w:val="32"/>
          <w:lang w:val="en-US" w:eastAsia="zh-CN" w:bidi="ar-SA"/>
        </w:rPr>
        <w:t>（八）</w:t>
      </w:r>
      <w:r>
        <w:rPr>
          <w:rFonts w:hint="default" w:ascii="Times New Roman" w:hAnsi="Times New Roman" w:eastAsia="仿宋_GB2312" w:cs="仿宋_GB2312"/>
          <w:snapToGrid w:val="0"/>
          <w:kern w:val="0"/>
          <w:sz w:val="32"/>
          <w:szCs w:val="32"/>
          <w:lang w:val="en-US" w:eastAsia="zh-CN" w:bidi="ar-SA"/>
        </w:rPr>
        <w:t>按规定需缴纳相关费用的凭证；</w:t>
      </w:r>
    </w:p>
    <w:p w14:paraId="7BD2430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cs="仿宋_GB2312"/>
          <w:snapToGrid w:val="0"/>
          <w:kern w:val="0"/>
          <w:sz w:val="32"/>
          <w:szCs w:val="32"/>
          <w:lang w:val="en-US" w:eastAsia="zh-CN" w:bidi="ar-SA"/>
        </w:rPr>
        <w:t>（九）</w:t>
      </w:r>
      <w:r>
        <w:rPr>
          <w:rFonts w:hint="default" w:ascii="Times New Roman" w:hAnsi="Times New Roman" w:eastAsia="仿宋_GB2312" w:cs="仿宋_GB2312"/>
          <w:snapToGrid w:val="0"/>
          <w:kern w:val="0"/>
          <w:sz w:val="32"/>
          <w:szCs w:val="32"/>
          <w:lang w:val="en-US" w:eastAsia="zh-CN" w:bidi="ar-SA"/>
        </w:rPr>
        <w:t>法律、行政法规规定的其他材料。</w:t>
      </w:r>
    </w:p>
    <w:p w14:paraId="7D732F9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二十</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eastAsia" w:ascii="仿宋_GB2312" w:hAnsi="仿宋_GB2312" w:eastAsia="仿宋_GB2312" w:cs="仿宋_GB2312"/>
          <w:b w:val="0"/>
          <w:bCs w:val="0"/>
          <w:snapToGrid w:val="0"/>
          <w:kern w:val="0"/>
          <w:sz w:val="32"/>
          <w:szCs w:val="32"/>
          <w:lang w:val="en-US" w:eastAsia="zh-CN" w:bidi="ar-SA"/>
        </w:rPr>
        <w:t>城市</w:t>
      </w:r>
      <w:r>
        <w:rPr>
          <w:rFonts w:hint="eastAsia" w:ascii="仿宋_GB2312" w:hAnsi="仿宋_GB2312" w:cs="仿宋_GB2312"/>
          <w:b w:val="0"/>
          <w:bCs w:val="0"/>
          <w:snapToGrid w:val="0"/>
          <w:kern w:val="0"/>
          <w:sz w:val="32"/>
          <w:szCs w:val="32"/>
          <w:lang w:val="en-US" w:eastAsia="zh-CN" w:bidi="ar-SA"/>
        </w:rPr>
        <w:t>管理</w:t>
      </w:r>
      <w:r>
        <w:rPr>
          <w:rFonts w:hint="eastAsia" w:ascii="仿宋_GB2312" w:hAnsi="仿宋_GB2312" w:eastAsia="仿宋_GB2312" w:cs="仿宋_GB2312"/>
          <w:b w:val="0"/>
          <w:bCs w:val="0"/>
          <w:snapToGrid w:val="0"/>
          <w:kern w:val="0"/>
          <w:sz w:val="32"/>
          <w:szCs w:val="32"/>
          <w:lang w:val="en-US" w:eastAsia="zh-CN" w:bidi="ar-SA"/>
        </w:rPr>
        <w:t>部门按以下流程办理审批：</w:t>
      </w:r>
    </w:p>
    <w:p w14:paraId="454868B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（一）申请提交：申请人通过师市政务服务网或对应办事窗口提交申请材料；​</w:t>
      </w:r>
    </w:p>
    <w:p w14:paraId="2C03D28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（二）材料审查：1个工作日内完成材料审核，材料不全的一次性告知补正，不符合条件的书面说明理由；</w:t>
      </w:r>
    </w:p>
    <w:p w14:paraId="2883C9A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（三）现场核查：受理后3个工作日内，组织工作人员联合</w:t>
      </w:r>
      <w:r>
        <w:rPr>
          <w:rFonts w:hint="eastAsia" w:cs="仿宋_GB2312"/>
          <w:snapToGrid w:val="0"/>
          <w:kern w:val="0"/>
          <w:sz w:val="32"/>
          <w:szCs w:val="32"/>
          <w:lang w:val="en-US" w:eastAsia="zh-CN" w:bidi="ar-SA"/>
        </w:rPr>
        <w:t>有关</w:t>
      </w:r>
      <w:r>
        <w:rPr>
          <w:rFonts w:hint="eastAsia" w:ascii="Times New Roman" w:hAnsi="Times New Roman" w:eastAsia="仿宋_GB2312" w:cs="仿宋_GB2312"/>
          <w:snapToGrid w:val="0"/>
          <w:kern w:val="0"/>
          <w:sz w:val="32"/>
          <w:szCs w:val="32"/>
          <w:lang w:val="en-US" w:eastAsia="zh-CN" w:bidi="ar-SA"/>
        </w:rPr>
        <w:t>单位实地核查</w:t>
      </w:r>
      <w:r>
        <w:rPr>
          <w:rFonts w:hint="eastAsia" w:cs="仿宋_GB2312"/>
          <w:snapToGrid w:val="0"/>
          <w:kern w:val="0"/>
          <w:sz w:val="32"/>
          <w:szCs w:val="32"/>
          <w:lang w:val="en-US" w:eastAsia="zh-CN" w:bidi="ar-SA"/>
        </w:rPr>
        <w:t>道路、</w:t>
      </w:r>
      <w:r>
        <w:rPr>
          <w:rFonts w:hint="eastAsia" w:ascii="Times New Roman" w:hAnsi="Times New Roman" w:eastAsia="仿宋_GB2312" w:cs="仿宋_GB2312"/>
          <w:snapToGrid w:val="0"/>
          <w:kern w:val="0"/>
          <w:sz w:val="32"/>
          <w:szCs w:val="32"/>
          <w:lang w:val="en-US" w:eastAsia="zh-CN" w:bidi="ar-SA"/>
        </w:rPr>
        <w:t>绿地现状</w:t>
      </w:r>
      <w:r>
        <w:rPr>
          <w:rFonts w:hint="eastAsia" w:cs="仿宋_GB2312"/>
          <w:snapToGrid w:val="0"/>
          <w:kern w:val="0"/>
          <w:sz w:val="32"/>
          <w:szCs w:val="32"/>
          <w:lang w:val="en-US" w:eastAsia="zh-CN" w:bidi="ar-SA"/>
        </w:rPr>
        <w:t>及</w:t>
      </w:r>
      <w:r>
        <w:rPr>
          <w:rFonts w:hint="eastAsia" w:ascii="Times New Roman" w:hAnsi="Times New Roman" w:eastAsia="仿宋_GB2312" w:cs="仿宋_GB2312"/>
          <w:snapToGrid w:val="0"/>
          <w:kern w:val="0"/>
          <w:sz w:val="32"/>
          <w:szCs w:val="32"/>
          <w:lang w:val="en-US" w:eastAsia="zh-CN" w:bidi="ar-SA"/>
        </w:rPr>
        <w:t>占用范围合理性；</w:t>
      </w:r>
      <w:r>
        <w:rPr>
          <w:rFonts w:hint="eastAsia" w:cs="仿宋_GB2312"/>
          <w:snapToGrid w:val="0"/>
          <w:kern w:val="0"/>
          <w:sz w:val="32"/>
          <w:szCs w:val="32"/>
          <w:lang w:val="en-US" w:eastAsia="zh-CN" w:bidi="ar-SA"/>
        </w:rPr>
        <w:t>施工涉及封闭道路的需联合</w:t>
      </w:r>
      <w:r>
        <w:rPr>
          <w:rFonts w:hint="default" w:ascii="Times New Roman" w:hAnsi="Times New Roman" w:eastAsia="仿宋_GB2312" w:cs="仿宋_GB2312"/>
          <w:snapToGrid w:val="0"/>
          <w:kern w:val="0"/>
          <w:sz w:val="32"/>
          <w:szCs w:val="32"/>
          <w:lang w:val="en-US" w:eastAsia="zh-CN" w:bidi="ar-SA"/>
        </w:rPr>
        <w:t>公安部门联合勘验，同步办理相关手续</w:t>
      </w:r>
      <w:r>
        <w:rPr>
          <w:rFonts w:hint="eastAsia" w:cs="仿宋_GB2312"/>
          <w:snapToGrid w:val="0"/>
          <w:kern w:val="0"/>
          <w:sz w:val="32"/>
          <w:szCs w:val="32"/>
          <w:lang w:val="en-US" w:eastAsia="zh-CN" w:bidi="ar-SA"/>
        </w:rPr>
        <w:t>；</w:t>
      </w:r>
    </w:p>
    <w:p w14:paraId="186E117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（四）审批决定：自受理之日起</w:t>
      </w:r>
      <w:r>
        <w:rPr>
          <w:rFonts w:hint="eastAsia" w:cs="仿宋_GB2312"/>
          <w:snapToGrid w:val="0"/>
          <w:kern w:val="0"/>
          <w:sz w:val="32"/>
          <w:szCs w:val="32"/>
          <w:lang w:val="en-US" w:eastAsia="zh-CN" w:bidi="ar-SA"/>
        </w:rPr>
        <w:t>5</w:t>
      </w:r>
      <w:r>
        <w:rPr>
          <w:rFonts w:hint="eastAsia" w:ascii="Times New Roman" w:hAnsi="Times New Roman" w:eastAsia="仿宋_GB2312" w:cs="仿宋_GB2312"/>
          <w:snapToGrid w:val="0"/>
          <w:kern w:val="0"/>
          <w:sz w:val="32"/>
          <w:szCs w:val="32"/>
          <w:lang w:val="en-US" w:eastAsia="zh-CN" w:bidi="ar-SA"/>
        </w:rPr>
        <w:t>个工作日内作出审批决定</w:t>
      </w:r>
      <w:r>
        <w:rPr>
          <w:rFonts w:hint="eastAsia" w:cs="仿宋_GB2312"/>
          <w:snapToGrid w:val="0"/>
          <w:kern w:val="0"/>
          <w:sz w:val="32"/>
          <w:szCs w:val="32"/>
          <w:lang w:val="en-US" w:eastAsia="zh-CN" w:bidi="ar-SA"/>
        </w:rPr>
        <w:t>，对</w:t>
      </w:r>
      <w:r>
        <w:rPr>
          <w:rFonts w:hint="eastAsia" w:ascii="Times New Roman" w:hAnsi="Times New Roman" w:eastAsia="仿宋_GB2312" w:cs="仿宋_GB2312"/>
          <w:snapToGrid w:val="0"/>
          <w:kern w:val="0"/>
          <w:sz w:val="32"/>
          <w:szCs w:val="32"/>
          <w:lang w:val="en-US" w:eastAsia="zh-CN" w:bidi="ar-SA"/>
        </w:rPr>
        <w:t>符合条件的核发许可证，明确占用范围、期限、保护及恢复要求；不予批准的书面告知申请人；</w:t>
      </w:r>
    </w:p>
    <w:p w14:paraId="1E35DC1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b/>
          <w:bCs/>
          <w:snapToGrid w:val="0"/>
          <w:kern w:val="0"/>
          <w:sz w:val="32"/>
          <w:szCs w:val="32"/>
          <w:u w:val="none"/>
          <w:lang w:val="en-US" w:eastAsia="zh-CN" w:bidi="ar-SA"/>
        </w:rPr>
      </w:pPr>
      <w:r>
        <w:rPr>
          <w:rFonts w:hint="eastAsia" w:cs="仿宋_GB2312"/>
          <w:snapToGrid w:val="0"/>
          <w:kern w:val="0"/>
          <w:sz w:val="32"/>
          <w:szCs w:val="32"/>
          <w:u w:val="none"/>
          <w:lang w:val="en-US" w:eastAsia="zh-CN" w:bidi="ar-SA"/>
        </w:rPr>
        <w:t>（五）</w:t>
      </w:r>
      <w:r>
        <w:rPr>
          <w:rFonts w:hint="eastAsia" w:ascii="Times New Roman" w:hAnsi="Times New Roman" w:eastAsia="仿宋_GB2312" w:cs="仿宋_GB2312"/>
          <w:snapToGrid w:val="0"/>
          <w:kern w:val="0"/>
          <w:sz w:val="32"/>
          <w:szCs w:val="32"/>
          <w:u w:val="none"/>
          <w:lang w:val="en-US" w:eastAsia="zh-CN" w:bidi="ar-SA"/>
        </w:rPr>
        <w:t>公示公开：</w:t>
      </w:r>
      <w:r>
        <w:rPr>
          <w:rFonts w:hint="eastAsia" w:cs="仿宋_GB2312"/>
          <w:snapToGrid w:val="0"/>
          <w:kern w:val="0"/>
          <w:sz w:val="32"/>
          <w:szCs w:val="32"/>
          <w:u w:val="none"/>
          <w:lang w:val="en-US" w:eastAsia="zh-CN" w:bidi="ar-SA"/>
        </w:rPr>
        <w:t>自行政许可</w:t>
      </w:r>
      <w:r>
        <w:rPr>
          <w:rFonts w:hint="eastAsia" w:ascii="Times New Roman" w:hAnsi="Times New Roman" w:eastAsia="仿宋_GB2312" w:cs="仿宋_GB2312"/>
          <w:snapToGrid w:val="0"/>
          <w:kern w:val="0"/>
          <w:sz w:val="32"/>
          <w:szCs w:val="32"/>
          <w:u w:val="none"/>
          <w:lang w:val="en-US" w:eastAsia="zh-CN" w:bidi="ar-SA"/>
        </w:rPr>
        <w:t>准予</w:t>
      </w:r>
      <w:r>
        <w:rPr>
          <w:rFonts w:hint="eastAsia" w:cs="仿宋_GB2312"/>
          <w:snapToGrid w:val="0"/>
          <w:kern w:val="0"/>
          <w:sz w:val="32"/>
          <w:szCs w:val="32"/>
          <w:u w:val="none"/>
          <w:lang w:val="en-US" w:eastAsia="zh-CN" w:bidi="ar-SA"/>
        </w:rPr>
        <w:t>之日起7个工作日内</w:t>
      </w:r>
      <w:r>
        <w:rPr>
          <w:rFonts w:hint="eastAsia" w:ascii="Times New Roman" w:hAnsi="Times New Roman" w:eastAsia="仿宋_GB2312" w:cs="仿宋_GB2312"/>
          <w:snapToGrid w:val="0"/>
          <w:kern w:val="0"/>
          <w:sz w:val="32"/>
          <w:szCs w:val="32"/>
          <w:u w:val="none"/>
          <w:lang w:val="en-US" w:eastAsia="zh-CN" w:bidi="ar-SA"/>
        </w:rPr>
        <w:t>向社会公开，接受公众监督。</w:t>
      </w:r>
    </w:p>
    <w:p w14:paraId="50F95C4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cs="仿宋_GB2312"/>
          <w:snapToGrid w:val="0"/>
          <w:kern w:val="0"/>
          <w:sz w:val="32"/>
          <w:szCs w:val="32"/>
          <w:lang w:val="en-US" w:eastAsia="zh-CN" w:bidi="ar-SA"/>
        </w:rPr>
      </w:pPr>
      <w:r>
        <w:rPr>
          <w:rFonts w:hint="default"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二十一</w:t>
      </w:r>
      <w:r>
        <w:rPr>
          <w:rFonts w:hint="default" w:cs="仿宋_GB2312"/>
          <w:b/>
          <w:bCs/>
          <w:snapToGrid w:val="0"/>
          <w:kern w:val="0"/>
          <w:sz w:val="32"/>
          <w:szCs w:val="32"/>
          <w:lang w:val="en-US" w:eastAsia="zh-CN" w:bidi="ar-SA"/>
        </w:rPr>
        <w:t>条</w:t>
      </w:r>
      <w:r>
        <w:rPr>
          <w:rFonts w:hint="eastAsia" w:cs="仿宋_GB2312"/>
          <w:snapToGrid w:val="0"/>
          <w:kern w:val="0"/>
          <w:sz w:val="32"/>
          <w:szCs w:val="32"/>
          <w:lang w:val="en-US" w:eastAsia="zh-CN" w:bidi="ar-SA"/>
        </w:rPr>
        <w:t xml:space="preserve">  有下列情形之一的，不予办理占用城市道路挖掘</w:t>
      </w:r>
      <w:r>
        <w:rPr>
          <w:rFonts w:hint="default" w:cs="仿宋_GB2312"/>
          <w:snapToGrid w:val="0"/>
          <w:kern w:val="0"/>
          <w:sz w:val="32"/>
          <w:szCs w:val="32"/>
          <w:lang w:val="en-US" w:eastAsia="zh-CN" w:bidi="ar-SA"/>
        </w:rPr>
        <w:t>许可</w:t>
      </w:r>
      <w:r>
        <w:rPr>
          <w:rFonts w:hint="eastAsia" w:cs="仿宋_GB2312"/>
          <w:snapToGrid w:val="0"/>
          <w:kern w:val="0"/>
          <w:sz w:val="32"/>
          <w:szCs w:val="32"/>
          <w:lang w:val="en-US" w:eastAsia="zh-CN" w:bidi="ar-SA"/>
        </w:rPr>
        <w:t>：</w:t>
      </w:r>
    </w:p>
    <w:p w14:paraId="43A431C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napToGrid w:val="0"/>
          <w:kern w:val="0"/>
          <w:sz w:val="32"/>
          <w:szCs w:val="32"/>
          <w:lang w:val="en-US" w:eastAsia="zh-CN" w:bidi="ar-SA"/>
        </w:rPr>
      </w:pPr>
      <w:r>
        <w:rPr>
          <w:rFonts w:hint="eastAsia"/>
          <w:lang w:val="en-US" w:eastAsia="zh-CN"/>
        </w:rPr>
        <w:t>（一）</w:t>
      </w:r>
      <w:r>
        <w:rPr>
          <w:rFonts w:hint="eastAsia" w:ascii="Times New Roman" w:hAnsi="Times New Roman" w:eastAsia="仿宋_GB2312" w:cs="仿宋_GB2312"/>
          <w:snapToGrid w:val="0"/>
          <w:kern w:val="0"/>
          <w:sz w:val="32"/>
          <w:szCs w:val="32"/>
          <w:lang w:val="en-US" w:eastAsia="zh-CN" w:bidi="ar-SA"/>
        </w:rPr>
        <w:t>申请在</w:t>
      </w:r>
      <w:r>
        <w:rPr>
          <w:rFonts w:hint="default" w:ascii="Times New Roman" w:hAnsi="Times New Roman" w:eastAsia="仿宋_GB2312" w:cs="仿宋_GB2312"/>
          <w:snapToGrid w:val="0"/>
          <w:kern w:val="0"/>
          <w:sz w:val="32"/>
          <w:szCs w:val="32"/>
          <w:lang w:val="en-US" w:eastAsia="zh-CN" w:bidi="ar-SA"/>
        </w:rPr>
        <w:t>法定节假日、重大活动期间</w:t>
      </w:r>
      <w:r>
        <w:rPr>
          <w:rFonts w:hint="eastAsia"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冬季（当年11月15日至次年3月15日</w:t>
      </w:r>
      <w:r>
        <w:rPr>
          <w:rFonts w:hint="eastAsia" w:ascii="Times New Roman" w:hAnsi="Times New Roman" w:eastAsia="仿宋_GB2312" w:cs="仿宋_GB2312"/>
          <w:snapToGrid w:val="0"/>
          <w:kern w:val="0"/>
          <w:sz w:val="32"/>
          <w:szCs w:val="32"/>
          <w:lang w:val="en-US" w:eastAsia="zh-CN" w:bidi="ar-SA"/>
        </w:rPr>
        <w:t>）挖掘的</w:t>
      </w:r>
      <w:r>
        <w:rPr>
          <w:rFonts w:hint="eastAsia" w:cs="仿宋_GB2312"/>
          <w:snapToGrid w:val="0"/>
          <w:kern w:val="0"/>
          <w:sz w:val="32"/>
          <w:szCs w:val="32"/>
          <w:lang w:val="en-US" w:eastAsia="zh-CN" w:bidi="ar-SA"/>
        </w:rPr>
        <w:t>（供排水、热力、燃气抢修除外）</w:t>
      </w:r>
      <w:r>
        <w:rPr>
          <w:rFonts w:hint="eastAsia" w:ascii="Times New Roman" w:hAnsi="Times New Roman" w:eastAsia="仿宋_GB2312" w:cs="仿宋_GB2312"/>
          <w:snapToGrid w:val="0"/>
          <w:kern w:val="0"/>
          <w:sz w:val="32"/>
          <w:szCs w:val="32"/>
          <w:lang w:val="en-US" w:eastAsia="zh-CN" w:bidi="ar-SA"/>
        </w:rPr>
        <w:t xml:space="preserve">； </w:t>
      </w:r>
    </w:p>
    <w:p w14:paraId="6A6FE2C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二</w:t>
      </w:r>
      <w:r>
        <w:rPr>
          <w:rFonts w:hint="eastAsia" w:ascii="Times New Roman" w:hAnsi="Times New Roman" w:eastAsia="仿宋_GB2312" w:cs="仿宋_GB2312"/>
          <w:snapToGrid w:val="0"/>
          <w:kern w:val="0"/>
          <w:sz w:val="32"/>
          <w:szCs w:val="32"/>
          <w:lang w:val="en-US" w:eastAsia="zh-CN" w:bidi="ar-SA"/>
        </w:rPr>
        <w:t>）同一道路地下相同管线建设竣工后未满3年的</w:t>
      </w:r>
      <w:r>
        <w:rPr>
          <w:rFonts w:hint="eastAsia" w:cs="仿宋_GB2312"/>
          <w:snapToGrid w:val="0"/>
          <w:kern w:val="0"/>
          <w:sz w:val="32"/>
          <w:szCs w:val="32"/>
          <w:lang w:val="en-US" w:eastAsia="zh-CN" w:bidi="ar-SA"/>
        </w:rPr>
        <w:t>；</w:t>
      </w:r>
    </w:p>
    <w:p w14:paraId="57D7493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三</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新建、扩建、改建后交付使用未满5年或者大修竣工后未满3年</w:t>
      </w:r>
      <w:r>
        <w:rPr>
          <w:rFonts w:hint="eastAsia" w:cs="仿宋_GB2312"/>
          <w:snapToGrid w:val="0"/>
          <w:kern w:val="0"/>
          <w:sz w:val="32"/>
          <w:szCs w:val="32"/>
          <w:lang w:val="en-US" w:eastAsia="zh-CN" w:bidi="ar-SA"/>
        </w:rPr>
        <w:t>的</w:t>
      </w:r>
      <w:r>
        <w:rPr>
          <w:rFonts w:hint="default" w:ascii="Times New Roman" w:hAnsi="Times New Roman" w:eastAsia="仿宋_GB2312" w:cs="仿宋_GB2312"/>
          <w:snapToGrid w:val="0"/>
          <w:kern w:val="0"/>
          <w:sz w:val="32"/>
          <w:szCs w:val="32"/>
          <w:lang w:val="en-US" w:eastAsia="zh-CN" w:bidi="ar-SA"/>
        </w:rPr>
        <w:t>城市道路</w:t>
      </w:r>
      <w:r>
        <w:rPr>
          <w:rFonts w:hint="eastAsia" w:cs="仿宋_GB2312"/>
          <w:snapToGrid w:val="0"/>
          <w:kern w:val="0"/>
          <w:sz w:val="32"/>
          <w:szCs w:val="32"/>
          <w:lang w:val="en-US" w:eastAsia="zh-CN" w:bidi="ar-SA"/>
        </w:rPr>
        <w:t>；</w:t>
      </w:r>
    </w:p>
    <w:p w14:paraId="1531DCE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cs="仿宋_GB2312"/>
          <w:snapToGrid w:val="0"/>
          <w:kern w:val="0"/>
          <w:sz w:val="32"/>
          <w:szCs w:val="32"/>
          <w:lang w:val="en-US" w:eastAsia="zh-CN" w:bidi="ar-SA"/>
        </w:rPr>
        <w:t>（四）</w:t>
      </w:r>
      <w:r>
        <w:rPr>
          <w:rFonts w:hint="default" w:ascii="Times New Roman" w:hAnsi="Times New Roman" w:eastAsia="仿宋_GB2312" w:cs="仿宋_GB2312"/>
          <w:snapToGrid w:val="0"/>
          <w:kern w:val="0"/>
          <w:sz w:val="32"/>
          <w:szCs w:val="32"/>
          <w:lang w:val="en-US" w:eastAsia="zh-CN" w:bidi="ar-SA"/>
        </w:rPr>
        <w:t>横</w:t>
      </w:r>
      <w:r>
        <w:rPr>
          <w:rFonts w:hint="eastAsia" w:cs="仿宋_GB2312"/>
          <w:snapToGrid w:val="0"/>
          <w:kern w:val="0"/>
          <w:sz w:val="32"/>
          <w:szCs w:val="32"/>
          <w:lang w:val="en-US" w:eastAsia="zh-CN" w:bidi="ar-SA"/>
        </w:rPr>
        <w:t>向</w:t>
      </w:r>
      <w:r>
        <w:rPr>
          <w:rFonts w:hint="default" w:ascii="Times New Roman" w:hAnsi="Times New Roman" w:eastAsia="仿宋_GB2312" w:cs="仿宋_GB2312"/>
          <w:snapToGrid w:val="0"/>
          <w:kern w:val="0"/>
          <w:sz w:val="32"/>
          <w:szCs w:val="32"/>
          <w:lang w:val="en-US" w:eastAsia="zh-CN" w:bidi="ar-SA"/>
        </w:rPr>
        <w:t>挖掘双向</w:t>
      </w:r>
      <w:r>
        <w:rPr>
          <w:rFonts w:hint="eastAsia" w:ascii="Times New Roman" w:hAnsi="Times New Roman" w:eastAsia="仿宋_GB2312" w:cs="仿宋_GB2312"/>
          <w:snapToGrid w:val="0"/>
          <w:kern w:val="0"/>
          <w:sz w:val="32"/>
          <w:szCs w:val="32"/>
          <w:lang w:val="en-US" w:eastAsia="zh-CN" w:bidi="ar-SA"/>
        </w:rPr>
        <w:t>四</w:t>
      </w:r>
      <w:r>
        <w:rPr>
          <w:rFonts w:hint="default" w:ascii="Times New Roman" w:hAnsi="Times New Roman" w:eastAsia="仿宋_GB2312" w:cs="仿宋_GB2312"/>
          <w:snapToGrid w:val="0"/>
          <w:kern w:val="0"/>
          <w:sz w:val="32"/>
          <w:szCs w:val="32"/>
          <w:lang w:val="en-US" w:eastAsia="zh-CN" w:bidi="ar-SA"/>
        </w:rPr>
        <w:t>车道及以上主干道的</w:t>
      </w:r>
      <w:r>
        <w:rPr>
          <w:rFonts w:hint="eastAsia" w:ascii="Times New Roman" w:hAnsi="Times New Roman" w:eastAsia="仿宋_GB2312" w:cs="仿宋_GB2312"/>
          <w:snapToGrid w:val="0"/>
          <w:kern w:val="0"/>
          <w:sz w:val="32"/>
          <w:szCs w:val="32"/>
          <w:lang w:val="en-US" w:eastAsia="zh-CN" w:bidi="ar-SA"/>
        </w:rPr>
        <w:t>；</w:t>
      </w:r>
    </w:p>
    <w:p w14:paraId="6A91232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五</w:t>
      </w:r>
      <w:r>
        <w:rPr>
          <w:rFonts w:hint="eastAsia" w:ascii="Times New Roman" w:hAnsi="Times New Roman" w:eastAsia="仿宋_GB2312" w:cs="仿宋_GB2312"/>
          <w:snapToGrid w:val="0"/>
          <w:kern w:val="0"/>
          <w:sz w:val="32"/>
          <w:szCs w:val="32"/>
          <w:lang w:val="en-US" w:eastAsia="zh-CN" w:bidi="ar-SA"/>
        </w:rPr>
        <w:t xml:space="preserve">）在已建有公共管线走廊的城市道路下方敷设同类管线的； </w:t>
      </w:r>
    </w:p>
    <w:p w14:paraId="2F6B99D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六</w:t>
      </w: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经反复告知仍</w:t>
      </w:r>
      <w:r>
        <w:rPr>
          <w:rFonts w:hint="eastAsia" w:ascii="Times New Roman" w:hAnsi="Times New Roman" w:eastAsia="仿宋_GB2312" w:cs="仿宋_GB2312"/>
          <w:snapToGrid w:val="0"/>
          <w:kern w:val="0"/>
          <w:sz w:val="32"/>
          <w:szCs w:val="32"/>
          <w:lang w:val="en-US" w:eastAsia="zh-CN" w:bidi="ar-SA"/>
        </w:rPr>
        <w:t xml:space="preserve">未提供有效文件或者提供资料不齐全的； </w:t>
      </w:r>
    </w:p>
    <w:p w14:paraId="4DDDAD1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七</w:t>
      </w:r>
      <w:r>
        <w:rPr>
          <w:rFonts w:hint="eastAsia" w:ascii="Times New Roman" w:hAnsi="Times New Roman" w:eastAsia="仿宋_GB2312" w:cs="仿宋_GB2312"/>
          <w:snapToGrid w:val="0"/>
          <w:kern w:val="0"/>
          <w:sz w:val="32"/>
          <w:szCs w:val="32"/>
          <w:lang w:val="en-US" w:eastAsia="zh-CN" w:bidi="ar-SA"/>
        </w:rPr>
        <w:t>）申请</w:t>
      </w:r>
      <w:r>
        <w:rPr>
          <w:rFonts w:hint="eastAsia" w:cs="仿宋_GB2312"/>
          <w:snapToGrid w:val="0"/>
          <w:kern w:val="0"/>
          <w:sz w:val="32"/>
          <w:szCs w:val="32"/>
          <w:lang w:val="en-US" w:eastAsia="zh-CN" w:bidi="ar-SA"/>
        </w:rPr>
        <w:t>单位</w:t>
      </w:r>
      <w:r>
        <w:rPr>
          <w:rFonts w:hint="eastAsia" w:ascii="Times New Roman" w:hAnsi="Times New Roman" w:eastAsia="仿宋_GB2312" w:cs="仿宋_GB2312"/>
          <w:snapToGrid w:val="0"/>
          <w:kern w:val="0"/>
          <w:sz w:val="32"/>
          <w:szCs w:val="32"/>
          <w:lang w:val="en-US" w:eastAsia="zh-CN" w:bidi="ar-SA"/>
        </w:rPr>
        <w:t xml:space="preserve">违反城市道路挖掘管理有关规定，经查处仍未整改或者未履行处罚决定的； </w:t>
      </w:r>
    </w:p>
    <w:p w14:paraId="23B0231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八</w:t>
      </w:r>
      <w:r>
        <w:rPr>
          <w:rFonts w:hint="eastAsia" w:ascii="Times New Roman" w:hAnsi="Times New Roman" w:eastAsia="仿宋_GB2312" w:cs="仿宋_GB2312"/>
          <w:snapToGrid w:val="0"/>
          <w:kern w:val="0"/>
          <w:sz w:val="32"/>
          <w:szCs w:val="32"/>
          <w:lang w:val="en-US" w:eastAsia="zh-CN" w:bidi="ar-SA"/>
        </w:rPr>
        <w:t>）法律法规和规章</w:t>
      </w:r>
      <w:r>
        <w:rPr>
          <w:rFonts w:hint="eastAsia" w:cs="仿宋_GB2312"/>
          <w:snapToGrid w:val="0"/>
          <w:kern w:val="0"/>
          <w:sz w:val="32"/>
          <w:szCs w:val="32"/>
          <w:lang w:val="en-US" w:eastAsia="zh-CN" w:bidi="ar-SA"/>
        </w:rPr>
        <w:t>制度</w:t>
      </w:r>
      <w:r>
        <w:rPr>
          <w:rFonts w:hint="eastAsia" w:ascii="Times New Roman" w:hAnsi="Times New Roman" w:eastAsia="仿宋_GB2312" w:cs="仿宋_GB2312"/>
          <w:snapToGrid w:val="0"/>
          <w:kern w:val="0"/>
          <w:sz w:val="32"/>
          <w:szCs w:val="32"/>
          <w:lang w:val="en-US" w:eastAsia="zh-CN" w:bidi="ar-SA"/>
        </w:rPr>
        <w:t>规定的其他情形。</w:t>
      </w:r>
    </w:p>
    <w:p w14:paraId="433ED76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cs="仿宋_GB2312"/>
          <w:snapToGrid w:val="0"/>
          <w:kern w:val="0"/>
          <w:sz w:val="32"/>
          <w:szCs w:val="32"/>
          <w:lang w:val="en-US" w:eastAsia="zh-CN" w:bidi="ar-SA"/>
        </w:rPr>
        <w:t>出现上述（一）—（五）情形的，</w:t>
      </w:r>
      <w:r>
        <w:rPr>
          <w:rFonts w:hint="default" w:ascii="Times New Roman" w:hAnsi="Times New Roman" w:eastAsia="仿宋_GB2312" w:cs="仿宋_GB2312"/>
          <w:snapToGrid w:val="0"/>
          <w:kern w:val="0"/>
          <w:sz w:val="32"/>
          <w:szCs w:val="32"/>
          <w:lang w:val="en-US" w:eastAsia="zh-CN" w:bidi="ar-SA"/>
        </w:rPr>
        <w:t>因特殊情况需要占用挖掘道路，经住房和城乡建设部门审核，报</w:t>
      </w:r>
      <w:r>
        <w:rPr>
          <w:rFonts w:hint="eastAsia" w:ascii="Times New Roman" w:hAnsi="Times New Roman" w:eastAsia="仿宋_GB2312" w:cs="仿宋_GB2312"/>
          <w:snapToGrid w:val="0"/>
          <w:kern w:val="0"/>
          <w:sz w:val="32"/>
          <w:szCs w:val="32"/>
          <w:lang w:val="en-US" w:eastAsia="zh-CN" w:bidi="ar-SA"/>
        </w:rPr>
        <w:t>师市</w:t>
      </w:r>
      <w:r>
        <w:rPr>
          <w:rFonts w:hint="default" w:ascii="Times New Roman" w:hAnsi="Times New Roman" w:eastAsia="仿宋_GB2312" w:cs="仿宋_GB2312"/>
          <w:snapToGrid w:val="0"/>
          <w:kern w:val="0"/>
          <w:sz w:val="32"/>
          <w:szCs w:val="32"/>
          <w:lang w:val="en-US" w:eastAsia="zh-CN" w:bidi="ar-SA"/>
        </w:rPr>
        <w:t>人民政府批准。</w:t>
      </w:r>
    </w:p>
    <w:p w14:paraId="48DE792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二十</w:t>
      </w:r>
      <w:r>
        <w:rPr>
          <w:rFonts w:hint="eastAsia" w:cs="仿宋_GB2312"/>
          <w:b/>
          <w:bCs/>
          <w:snapToGrid w:val="0"/>
          <w:kern w:val="0"/>
          <w:sz w:val="32"/>
          <w:szCs w:val="32"/>
          <w:lang w:val="en-US" w:eastAsia="zh-CN" w:bidi="ar-SA"/>
        </w:rPr>
        <w:t>二</w:t>
      </w:r>
      <w:r>
        <w:rPr>
          <w:rFonts w:hint="default" w:ascii="Times New Roman" w:hAnsi="Times New Roman"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有下列情形之一的，不予</w:t>
      </w:r>
      <w:r>
        <w:rPr>
          <w:rFonts w:hint="eastAsia" w:ascii="仿宋_GB2312" w:hAnsi="仿宋_GB2312" w:cs="仿宋_GB2312"/>
          <w:b w:val="0"/>
          <w:bCs w:val="0"/>
          <w:snapToGrid w:val="0"/>
          <w:kern w:val="0"/>
          <w:sz w:val="32"/>
          <w:szCs w:val="32"/>
          <w:lang w:val="en-US" w:eastAsia="zh-CN" w:bidi="ar-SA"/>
        </w:rPr>
        <w:t>办理</w:t>
      </w:r>
      <w:r>
        <w:rPr>
          <w:rFonts w:hint="eastAsia" w:ascii="仿宋_GB2312" w:hAnsi="仿宋_GB2312" w:eastAsia="仿宋_GB2312" w:cs="仿宋_GB2312"/>
          <w:b w:val="0"/>
          <w:bCs w:val="0"/>
          <w:snapToGrid w:val="0"/>
          <w:kern w:val="0"/>
          <w:sz w:val="32"/>
          <w:szCs w:val="32"/>
          <w:lang w:val="en-US" w:eastAsia="zh-CN" w:bidi="ar-SA"/>
        </w:rPr>
        <w:t>占用绿地</w:t>
      </w:r>
      <w:r>
        <w:rPr>
          <w:rFonts w:hint="eastAsia" w:ascii="仿宋_GB2312" w:hAnsi="仿宋_GB2312" w:cs="仿宋_GB2312"/>
          <w:b w:val="0"/>
          <w:bCs w:val="0"/>
          <w:snapToGrid w:val="0"/>
          <w:kern w:val="0"/>
          <w:sz w:val="32"/>
          <w:szCs w:val="32"/>
          <w:lang w:val="en-US" w:eastAsia="zh-CN" w:bidi="ar-SA"/>
        </w:rPr>
        <w:t>施工</w:t>
      </w:r>
      <w:r>
        <w:rPr>
          <w:rFonts w:hint="eastAsia" w:ascii="仿宋_GB2312" w:hAnsi="仿宋_GB2312" w:eastAsia="仿宋_GB2312" w:cs="仿宋_GB2312"/>
          <w:b w:val="0"/>
          <w:bCs w:val="0"/>
          <w:snapToGrid w:val="0"/>
          <w:kern w:val="0"/>
          <w:sz w:val="32"/>
          <w:szCs w:val="32"/>
          <w:lang w:val="en-US" w:eastAsia="zh-CN" w:bidi="ar-SA"/>
        </w:rPr>
        <w:t>许可：</w:t>
      </w:r>
    </w:p>
    <w:p w14:paraId="091D49C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cs="仿宋_GB2312"/>
          <w:snapToGrid w:val="0"/>
          <w:kern w:val="0"/>
          <w:sz w:val="32"/>
          <w:szCs w:val="32"/>
          <w:lang w:val="en-US" w:eastAsia="zh-CN" w:bidi="ar-SA"/>
        </w:rPr>
      </w:pPr>
      <w:r>
        <w:rPr>
          <w:rFonts w:hint="eastAsia" w:cs="仿宋_GB2312"/>
          <w:snapToGrid w:val="0"/>
          <w:kern w:val="0"/>
          <w:sz w:val="32"/>
          <w:szCs w:val="32"/>
          <w:lang w:val="en-US" w:eastAsia="zh-CN" w:bidi="ar-SA"/>
        </w:rPr>
        <w:t>（一）不符合城市总体规划、绿化专项规划，存在替代方案的；</w:t>
      </w:r>
    </w:p>
    <w:p w14:paraId="2948DD9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cs="仿宋_GB2312"/>
          <w:snapToGrid w:val="0"/>
          <w:kern w:val="0"/>
          <w:sz w:val="32"/>
          <w:szCs w:val="32"/>
          <w:lang w:val="en-US" w:eastAsia="zh-CN" w:bidi="ar-SA"/>
        </w:rPr>
      </w:pPr>
      <w:r>
        <w:rPr>
          <w:rFonts w:hint="eastAsia" w:cs="仿宋_GB2312"/>
          <w:snapToGrid w:val="0"/>
          <w:kern w:val="0"/>
          <w:sz w:val="32"/>
          <w:szCs w:val="32"/>
          <w:lang w:val="en-US" w:eastAsia="zh-CN" w:bidi="ar-SA"/>
        </w:rPr>
        <w:t>（二）施工方案、监管方案不完整，机械、人工、材料未到位，技术准备不足的；</w:t>
      </w:r>
    </w:p>
    <w:p w14:paraId="339659A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cs="仿宋_GB2312"/>
          <w:snapToGrid w:val="0"/>
          <w:kern w:val="0"/>
          <w:sz w:val="32"/>
          <w:szCs w:val="32"/>
          <w:lang w:val="en-US" w:eastAsia="zh-CN" w:bidi="ar-SA"/>
        </w:rPr>
      </w:pPr>
      <w:r>
        <w:rPr>
          <w:rFonts w:hint="eastAsia" w:cs="仿宋_GB2312"/>
          <w:snapToGrid w:val="0"/>
          <w:kern w:val="0"/>
          <w:sz w:val="32"/>
          <w:szCs w:val="32"/>
          <w:lang w:val="en-US" w:eastAsia="zh-CN" w:bidi="ar-SA"/>
        </w:rPr>
        <w:t>（三）未制定科学绿化恢复方案，无法保障绿地及时有效恢复的；</w:t>
      </w:r>
    </w:p>
    <w:p w14:paraId="67F24B5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cs="仿宋_GB2312"/>
          <w:snapToGrid w:val="0"/>
          <w:kern w:val="0"/>
          <w:sz w:val="32"/>
          <w:szCs w:val="32"/>
          <w:lang w:val="en-US" w:eastAsia="zh-CN" w:bidi="ar-SA"/>
        </w:rPr>
      </w:pPr>
      <w:r>
        <w:rPr>
          <w:rFonts w:hint="eastAsia" w:cs="仿宋_GB2312"/>
          <w:snapToGrid w:val="0"/>
          <w:kern w:val="0"/>
          <w:sz w:val="32"/>
          <w:szCs w:val="32"/>
          <w:lang w:val="en-US" w:eastAsia="zh-CN" w:bidi="ar-SA"/>
        </w:rPr>
        <w:t>（四）涉及古树名木且未制定专项保护方案，或方案未获批准的；</w:t>
      </w:r>
    </w:p>
    <w:p w14:paraId="292E02F8">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cs="仿宋_GB2312"/>
          <w:snapToGrid w:val="0"/>
          <w:kern w:val="0"/>
          <w:sz w:val="32"/>
          <w:szCs w:val="32"/>
          <w:lang w:val="en-US" w:eastAsia="zh-CN" w:bidi="ar-SA"/>
        </w:rPr>
      </w:pPr>
      <w:r>
        <w:rPr>
          <w:rFonts w:hint="eastAsia" w:cs="仿宋_GB2312"/>
          <w:snapToGrid w:val="0"/>
          <w:kern w:val="0"/>
          <w:sz w:val="32"/>
          <w:szCs w:val="32"/>
          <w:lang w:val="en-US" w:eastAsia="zh-CN" w:bidi="ar-SA"/>
        </w:rPr>
        <w:t>（五）曾有违规占用绿地、破坏绿化成果记录且未整改到位的；</w:t>
      </w:r>
    </w:p>
    <w:p w14:paraId="5C9EA26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六</w:t>
      </w:r>
      <w:r>
        <w:rPr>
          <w:rFonts w:hint="eastAsia" w:ascii="Times New Roman" w:hAnsi="Times New Roman" w:eastAsia="仿宋_GB2312" w:cs="仿宋_GB2312"/>
          <w:snapToGrid w:val="0"/>
          <w:kern w:val="0"/>
          <w:sz w:val="32"/>
          <w:szCs w:val="32"/>
          <w:lang w:val="en-US" w:eastAsia="zh-CN" w:bidi="ar-SA"/>
        </w:rPr>
        <w:t>）法律法规和规章</w:t>
      </w:r>
      <w:r>
        <w:rPr>
          <w:rFonts w:hint="eastAsia" w:cs="仿宋_GB2312"/>
          <w:snapToGrid w:val="0"/>
          <w:kern w:val="0"/>
          <w:sz w:val="32"/>
          <w:szCs w:val="32"/>
          <w:lang w:val="en-US" w:eastAsia="zh-CN" w:bidi="ar-SA"/>
        </w:rPr>
        <w:t>制度</w:t>
      </w:r>
      <w:r>
        <w:rPr>
          <w:rFonts w:hint="eastAsia" w:ascii="Times New Roman" w:hAnsi="Times New Roman" w:eastAsia="仿宋_GB2312" w:cs="仿宋_GB2312"/>
          <w:snapToGrid w:val="0"/>
          <w:kern w:val="0"/>
          <w:sz w:val="32"/>
          <w:szCs w:val="32"/>
          <w:lang w:val="en-US" w:eastAsia="zh-CN" w:bidi="ar-SA"/>
        </w:rPr>
        <w:t>规定的其他情形。</w:t>
      </w:r>
    </w:p>
    <w:p w14:paraId="7D47BD4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二十</w:t>
      </w:r>
      <w:r>
        <w:rPr>
          <w:rFonts w:hint="eastAsia" w:cs="仿宋_GB2312"/>
          <w:b/>
          <w:bCs/>
          <w:snapToGrid w:val="0"/>
          <w:kern w:val="0"/>
          <w:sz w:val="32"/>
          <w:szCs w:val="32"/>
          <w:lang w:val="en-US" w:eastAsia="zh-CN" w:bidi="ar-SA"/>
        </w:rPr>
        <w:t>三</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因既有地下管线发生管道爆裂、燃气泄漏、通信或者电力中断</w:t>
      </w:r>
      <w:r>
        <w:rPr>
          <w:rFonts w:hint="eastAsia"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因地下管线故障造成路面塌陷等突发情况，地下管线产权单位或者其委托运营维护单位需要紧急挖掘、占用道路</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绿地进行抢修或者探查事故原因的，应当立即向</w:t>
      </w:r>
      <w:r>
        <w:rPr>
          <w:rFonts w:hint="eastAsia" w:ascii="Times New Roman" w:hAnsi="Times New Roman" w:eastAsia="仿宋_GB2312" w:cs="仿宋_GB2312"/>
          <w:snapToGrid w:val="0"/>
          <w:kern w:val="0"/>
          <w:sz w:val="32"/>
          <w:szCs w:val="32"/>
          <w:lang w:val="en-US" w:eastAsia="zh-CN" w:bidi="ar-SA"/>
        </w:rPr>
        <w:t>城市管理部门</w:t>
      </w:r>
      <w:r>
        <w:rPr>
          <w:rFonts w:hint="default" w:ascii="Times New Roman" w:hAnsi="Times New Roman" w:eastAsia="仿宋_GB2312" w:cs="仿宋_GB2312"/>
          <w:snapToGrid w:val="0"/>
          <w:kern w:val="0"/>
          <w:sz w:val="32"/>
          <w:szCs w:val="32"/>
          <w:lang w:val="en-US" w:eastAsia="zh-CN" w:bidi="ar-SA"/>
        </w:rPr>
        <w:t>报告</w:t>
      </w:r>
      <w:r>
        <w:rPr>
          <w:rFonts w:hint="eastAsia" w:ascii="Times New Roman" w:hAnsi="Times New Roman" w:eastAsia="仿宋_GB2312" w:cs="仿宋_GB2312"/>
          <w:snapToGrid w:val="0"/>
          <w:kern w:val="0"/>
          <w:sz w:val="32"/>
          <w:szCs w:val="32"/>
          <w:lang w:val="en-US" w:eastAsia="zh-CN" w:bidi="ar-SA"/>
        </w:rPr>
        <w:t>，经同意后，</w:t>
      </w:r>
      <w:r>
        <w:rPr>
          <w:rFonts w:hint="default" w:ascii="Times New Roman" w:hAnsi="Times New Roman" w:eastAsia="仿宋_GB2312" w:cs="仿宋_GB2312"/>
          <w:snapToGrid w:val="0"/>
          <w:kern w:val="0"/>
          <w:sz w:val="32"/>
          <w:szCs w:val="32"/>
          <w:lang w:val="en-US" w:eastAsia="zh-CN" w:bidi="ar-SA"/>
        </w:rPr>
        <w:t>地下管线产权单位或者其委托运营维护单位可以先行对</w:t>
      </w:r>
      <w:r>
        <w:rPr>
          <w:rFonts w:hint="eastAsia" w:cs="仿宋_GB2312"/>
          <w:snapToGrid w:val="0"/>
          <w:kern w:val="0"/>
          <w:sz w:val="32"/>
          <w:szCs w:val="32"/>
          <w:lang w:val="en-US" w:eastAsia="zh-CN" w:bidi="ar-SA"/>
        </w:rPr>
        <w:t>市政</w:t>
      </w:r>
      <w:r>
        <w:rPr>
          <w:rFonts w:hint="default" w:ascii="Times New Roman" w:hAnsi="Times New Roman" w:eastAsia="仿宋_GB2312" w:cs="仿宋_GB2312"/>
          <w:snapToGrid w:val="0"/>
          <w:kern w:val="0"/>
          <w:sz w:val="32"/>
          <w:szCs w:val="32"/>
          <w:lang w:val="en-US" w:eastAsia="zh-CN" w:bidi="ar-SA"/>
        </w:rPr>
        <w:t>道路、绿地实施抢修作业，但应当在事故发生时起24小时内补办占用挖掘道路、绿地行政许可。</w:t>
      </w:r>
    </w:p>
    <w:p w14:paraId="5CC866B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二十</w:t>
      </w:r>
      <w:r>
        <w:rPr>
          <w:rFonts w:hint="eastAsia" w:cs="仿宋_GB2312"/>
          <w:b/>
          <w:bCs/>
          <w:snapToGrid w:val="0"/>
          <w:kern w:val="0"/>
          <w:sz w:val="32"/>
          <w:szCs w:val="32"/>
          <w:lang w:val="en-US" w:eastAsia="zh-CN" w:bidi="ar-SA"/>
        </w:rPr>
        <w:t>四</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工程建设单位应当按照占用挖掘道路</w:t>
      </w:r>
      <w:r>
        <w:rPr>
          <w:rFonts w:hint="eastAsia" w:cs="仿宋_GB2312"/>
          <w:snapToGrid w:val="0"/>
          <w:kern w:val="0"/>
          <w:sz w:val="32"/>
          <w:szCs w:val="32"/>
          <w:lang w:val="en-US" w:eastAsia="zh-CN" w:bidi="ar-SA"/>
        </w:rPr>
        <w:t>、绿地</w:t>
      </w:r>
      <w:r>
        <w:rPr>
          <w:rFonts w:hint="default" w:ascii="Times New Roman" w:hAnsi="Times New Roman" w:eastAsia="仿宋_GB2312" w:cs="仿宋_GB2312"/>
          <w:snapToGrid w:val="0"/>
          <w:kern w:val="0"/>
          <w:sz w:val="32"/>
          <w:szCs w:val="32"/>
          <w:lang w:val="en-US" w:eastAsia="zh-CN" w:bidi="ar-SA"/>
        </w:rPr>
        <w:t>行政许可规定的要求施工。</w:t>
      </w:r>
    </w:p>
    <w:p w14:paraId="4E7B5A4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申请</w:t>
      </w:r>
      <w:r>
        <w:rPr>
          <w:rFonts w:hint="eastAsia" w:ascii="Times New Roman" w:hAnsi="Times New Roman" w:eastAsia="仿宋_GB2312" w:cs="仿宋_GB2312"/>
          <w:snapToGrid w:val="0"/>
          <w:kern w:val="0"/>
          <w:sz w:val="32"/>
          <w:szCs w:val="32"/>
          <w:lang w:val="en-US" w:eastAsia="zh-CN" w:bidi="ar-SA"/>
        </w:rPr>
        <w:t>单位</w:t>
      </w:r>
      <w:r>
        <w:rPr>
          <w:rFonts w:hint="default" w:ascii="Times New Roman" w:hAnsi="Times New Roman" w:eastAsia="仿宋_GB2312" w:cs="仿宋_GB2312"/>
          <w:snapToGrid w:val="0"/>
          <w:kern w:val="0"/>
          <w:sz w:val="32"/>
          <w:szCs w:val="32"/>
          <w:lang w:val="en-US" w:eastAsia="zh-CN" w:bidi="ar-SA"/>
        </w:rPr>
        <w:t>要科学规划，合理安排工期</w:t>
      </w:r>
      <w:r>
        <w:rPr>
          <w:rFonts w:hint="eastAsia"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临时占用</w:t>
      </w:r>
      <w:r>
        <w:rPr>
          <w:rFonts w:hint="eastAsia" w:cs="仿宋_GB2312"/>
          <w:snapToGrid w:val="0"/>
          <w:kern w:val="0"/>
          <w:sz w:val="32"/>
          <w:szCs w:val="32"/>
          <w:lang w:val="en-US" w:eastAsia="zh-CN" w:bidi="ar-SA"/>
        </w:rPr>
        <w:t>城市道路、</w:t>
      </w:r>
      <w:r>
        <w:rPr>
          <w:rFonts w:hint="default" w:ascii="Times New Roman" w:hAnsi="Times New Roman" w:eastAsia="仿宋_GB2312" w:cs="仿宋_GB2312"/>
          <w:snapToGrid w:val="0"/>
          <w:kern w:val="0"/>
          <w:sz w:val="32"/>
          <w:szCs w:val="32"/>
          <w:lang w:val="en-US" w:eastAsia="zh-CN" w:bidi="ar-SA"/>
        </w:rPr>
        <w:t>绿地期限不得超过1年，确需延期的，申请人应在期满前7日内向原审批机关申请，延期不得超过1年，逾期未办延期手续的</w:t>
      </w:r>
      <w:r>
        <w:rPr>
          <w:rFonts w:hint="eastAsia" w:cs="仿宋_GB2312"/>
          <w:snapToGrid w:val="0"/>
          <w:kern w:val="0"/>
          <w:sz w:val="32"/>
          <w:szCs w:val="32"/>
          <w:lang w:val="en-US" w:eastAsia="zh-CN" w:bidi="ar-SA"/>
        </w:rPr>
        <w:t>，按</w:t>
      </w:r>
      <w:r>
        <w:rPr>
          <w:rFonts w:hint="default" w:ascii="Times New Roman" w:hAnsi="Times New Roman" w:eastAsia="仿宋_GB2312" w:cs="仿宋_GB2312"/>
          <w:snapToGrid w:val="0"/>
          <w:kern w:val="0"/>
          <w:sz w:val="32"/>
          <w:szCs w:val="32"/>
          <w:lang w:val="en-US" w:eastAsia="zh-CN" w:bidi="ar-SA"/>
        </w:rPr>
        <w:t>擅自占用</w:t>
      </w:r>
      <w:r>
        <w:rPr>
          <w:rFonts w:hint="eastAsia" w:cs="仿宋_GB2312"/>
          <w:snapToGrid w:val="0"/>
          <w:kern w:val="0"/>
          <w:sz w:val="32"/>
          <w:szCs w:val="32"/>
          <w:lang w:val="en-US" w:eastAsia="zh-CN" w:bidi="ar-SA"/>
        </w:rPr>
        <w:t>城市道路、</w:t>
      </w:r>
      <w:r>
        <w:rPr>
          <w:rFonts w:hint="default" w:ascii="Times New Roman" w:hAnsi="Times New Roman" w:eastAsia="仿宋_GB2312" w:cs="仿宋_GB2312"/>
          <w:snapToGrid w:val="0"/>
          <w:kern w:val="0"/>
          <w:sz w:val="32"/>
          <w:szCs w:val="32"/>
          <w:lang w:val="en-US" w:eastAsia="zh-CN" w:bidi="ar-SA"/>
        </w:rPr>
        <w:t>绿地</w:t>
      </w:r>
      <w:r>
        <w:rPr>
          <w:rFonts w:hint="eastAsia" w:cs="仿宋_GB2312"/>
          <w:snapToGrid w:val="0"/>
          <w:kern w:val="0"/>
          <w:sz w:val="32"/>
          <w:szCs w:val="32"/>
          <w:lang w:val="en-US" w:eastAsia="zh-CN" w:bidi="ar-SA"/>
        </w:rPr>
        <w:t>依法</w:t>
      </w:r>
      <w:r>
        <w:rPr>
          <w:rFonts w:hint="default" w:ascii="Times New Roman" w:hAnsi="Times New Roman" w:eastAsia="仿宋_GB2312" w:cs="仿宋_GB2312"/>
          <w:snapToGrid w:val="0"/>
          <w:kern w:val="0"/>
          <w:sz w:val="32"/>
          <w:szCs w:val="32"/>
          <w:lang w:val="en-US" w:eastAsia="zh-CN" w:bidi="ar-SA"/>
        </w:rPr>
        <w:t>处理。</w:t>
      </w:r>
    </w:p>
    <w:p w14:paraId="16C4F6B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占</w:t>
      </w:r>
      <w:r>
        <w:rPr>
          <w:rFonts w:hint="eastAsia" w:cs="仿宋_GB2312"/>
          <w:snapToGrid w:val="0"/>
          <w:kern w:val="0"/>
          <w:sz w:val="32"/>
          <w:szCs w:val="32"/>
          <w:lang w:val="en-US" w:eastAsia="zh-CN" w:bidi="ar-SA"/>
        </w:rPr>
        <w:t>用城市</w:t>
      </w:r>
      <w:r>
        <w:rPr>
          <w:rFonts w:hint="eastAsia" w:ascii="Times New Roman" w:hAnsi="Times New Roman" w:eastAsia="仿宋_GB2312" w:cs="仿宋_GB2312"/>
          <w:snapToGrid w:val="0"/>
          <w:kern w:val="0"/>
          <w:sz w:val="32"/>
          <w:szCs w:val="32"/>
          <w:lang w:val="en-US" w:eastAsia="zh-CN" w:bidi="ar-SA"/>
        </w:rPr>
        <w:t>道</w:t>
      </w:r>
      <w:r>
        <w:rPr>
          <w:rFonts w:hint="eastAsia" w:cs="仿宋_GB2312"/>
          <w:snapToGrid w:val="0"/>
          <w:kern w:val="0"/>
          <w:sz w:val="32"/>
          <w:szCs w:val="32"/>
          <w:lang w:val="en-US" w:eastAsia="zh-CN" w:bidi="ar-SA"/>
        </w:rPr>
        <w:t>路、绿地</w:t>
      </w:r>
      <w:r>
        <w:rPr>
          <w:rFonts w:hint="eastAsia" w:ascii="Times New Roman" w:hAnsi="Times New Roman" w:eastAsia="仿宋_GB2312" w:cs="仿宋_GB2312"/>
          <w:snapToGrid w:val="0"/>
          <w:kern w:val="0"/>
          <w:sz w:val="32"/>
          <w:szCs w:val="32"/>
          <w:lang w:val="en-US" w:eastAsia="zh-CN" w:bidi="ar-SA"/>
        </w:rPr>
        <w:t>挖掘</w:t>
      </w:r>
      <w:r>
        <w:rPr>
          <w:rFonts w:hint="default" w:ascii="Times New Roman" w:hAnsi="Times New Roman" w:eastAsia="仿宋_GB2312" w:cs="仿宋_GB2312"/>
          <w:snapToGrid w:val="0"/>
          <w:kern w:val="0"/>
          <w:sz w:val="32"/>
          <w:szCs w:val="32"/>
          <w:lang w:val="en-US" w:eastAsia="zh-CN" w:bidi="ar-SA"/>
        </w:rPr>
        <w:t>行政许可申请可能影响其他单位合法权益的，申请人应当征询相关单位意见。</w:t>
      </w:r>
    </w:p>
    <w:p w14:paraId="61505F5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二十</w:t>
      </w:r>
      <w:r>
        <w:rPr>
          <w:rFonts w:hint="eastAsia" w:cs="仿宋_GB2312"/>
          <w:b/>
          <w:bCs/>
          <w:snapToGrid w:val="0"/>
          <w:kern w:val="0"/>
          <w:sz w:val="32"/>
          <w:szCs w:val="32"/>
          <w:lang w:val="en-US" w:eastAsia="zh-CN" w:bidi="ar-SA"/>
        </w:rPr>
        <w:t>五</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新建道路搭接市政道路的建设项目，在组织编制设计阶段应当充分征求住房和城乡建设部门</w:t>
      </w:r>
      <w:r>
        <w:rPr>
          <w:rFonts w:hint="eastAsia" w:ascii="Times New Roman" w:hAnsi="Times New Roman" w:eastAsia="仿宋_GB2312" w:cs="仿宋_GB2312"/>
          <w:snapToGrid w:val="0"/>
          <w:kern w:val="0"/>
          <w:sz w:val="32"/>
          <w:szCs w:val="32"/>
          <w:lang w:val="en-US" w:eastAsia="zh-CN" w:bidi="ar-SA"/>
        </w:rPr>
        <w:t>、城市管理部门</w:t>
      </w:r>
      <w:r>
        <w:rPr>
          <w:rFonts w:hint="default" w:ascii="Times New Roman" w:hAnsi="Times New Roman" w:eastAsia="仿宋_GB2312" w:cs="仿宋_GB2312"/>
          <w:snapToGrid w:val="0"/>
          <w:kern w:val="0"/>
          <w:sz w:val="32"/>
          <w:szCs w:val="32"/>
          <w:lang w:val="en-US" w:eastAsia="zh-CN" w:bidi="ar-SA"/>
        </w:rPr>
        <w:t>的意见。需要新增的配套交通设施，由建设责任主体负责组织交通设施建设方案论证，报公安部门审查同意，配套交通设施由建设责任主体同步建设。</w:t>
      </w:r>
    </w:p>
    <w:p w14:paraId="5AEB4A9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p>
    <w:p w14:paraId="70FD56B8">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default" w:ascii="Times New Roman" w:hAnsi="Times New Roman" w:eastAsia="黑体" w:cs="黑体"/>
          <w:b w:val="0"/>
          <w:bCs w:val="0"/>
          <w:snapToGrid w:val="0"/>
          <w:kern w:val="0"/>
          <w:sz w:val="32"/>
          <w:szCs w:val="32"/>
          <w:lang w:val="en-US" w:eastAsia="zh-CN" w:bidi="ar-SA"/>
        </w:rPr>
      </w:pPr>
      <w:r>
        <w:rPr>
          <w:rFonts w:hint="default" w:ascii="Times New Roman" w:hAnsi="Times New Roman" w:eastAsia="黑体" w:cs="黑体"/>
          <w:b w:val="0"/>
          <w:bCs w:val="0"/>
          <w:snapToGrid w:val="0"/>
          <w:kern w:val="0"/>
          <w:sz w:val="32"/>
          <w:szCs w:val="32"/>
          <w:lang w:val="en-US" w:eastAsia="zh-CN" w:bidi="ar-SA"/>
        </w:rPr>
        <w:t>第</w:t>
      </w:r>
      <w:r>
        <w:rPr>
          <w:rFonts w:hint="eastAsia" w:eastAsia="黑体" w:cs="黑体"/>
          <w:b w:val="0"/>
          <w:bCs w:val="0"/>
          <w:snapToGrid w:val="0"/>
          <w:kern w:val="0"/>
          <w:sz w:val="32"/>
          <w:szCs w:val="32"/>
          <w:lang w:val="en-US" w:eastAsia="zh-CN" w:bidi="ar-SA"/>
        </w:rPr>
        <w:t>四</w:t>
      </w:r>
      <w:r>
        <w:rPr>
          <w:rFonts w:hint="default" w:ascii="Times New Roman" w:hAnsi="Times New Roman" w:eastAsia="黑体" w:cs="黑体"/>
          <w:b w:val="0"/>
          <w:bCs w:val="0"/>
          <w:snapToGrid w:val="0"/>
          <w:kern w:val="0"/>
          <w:sz w:val="32"/>
          <w:szCs w:val="32"/>
          <w:lang w:val="en-US" w:eastAsia="zh-CN" w:bidi="ar-SA"/>
        </w:rPr>
        <w:t>章 费用管理</w:t>
      </w:r>
    </w:p>
    <w:p w14:paraId="450B46C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二十</w:t>
      </w:r>
      <w:r>
        <w:rPr>
          <w:rFonts w:hint="eastAsia" w:cs="仿宋_GB2312"/>
          <w:b/>
          <w:bCs/>
          <w:snapToGrid w:val="0"/>
          <w:kern w:val="0"/>
          <w:sz w:val="32"/>
          <w:szCs w:val="32"/>
          <w:lang w:val="en-US" w:eastAsia="zh-CN" w:bidi="ar-SA"/>
        </w:rPr>
        <w:t>六</w:t>
      </w:r>
      <w:r>
        <w:rPr>
          <w:rFonts w:hint="eastAsia" w:ascii="Times New Roman" w:hAnsi="Times New Roman" w:eastAsia="仿宋_GB2312" w:cs="仿宋_GB2312"/>
          <w:b/>
          <w:bCs/>
          <w:snapToGrid w:val="0"/>
          <w:kern w:val="0"/>
          <w:sz w:val="32"/>
          <w:szCs w:val="32"/>
          <w:lang w:val="en-US" w:eastAsia="zh-CN" w:bidi="ar-SA"/>
        </w:rPr>
        <w:t xml:space="preserve">条  </w:t>
      </w:r>
      <w:r>
        <w:rPr>
          <w:rFonts w:hint="default" w:ascii="Times New Roman" w:hAnsi="Times New Roman" w:eastAsia="仿宋_GB2312" w:cs="仿宋_GB2312"/>
          <w:snapToGrid w:val="0"/>
          <w:kern w:val="0"/>
          <w:sz w:val="32"/>
          <w:szCs w:val="32"/>
          <w:lang w:val="en-US" w:eastAsia="zh-CN" w:bidi="ar-SA"/>
        </w:rPr>
        <w:t>城市道路占用费收取标准</w:t>
      </w:r>
      <w:r>
        <w:rPr>
          <w:rFonts w:hint="eastAsia" w:cs="仿宋_GB2312"/>
          <w:snapToGrid w:val="0"/>
          <w:kern w:val="0"/>
          <w:sz w:val="32"/>
          <w:szCs w:val="32"/>
          <w:lang w:val="en-US" w:eastAsia="zh-CN" w:bidi="ar-SA"/>
        </w:rPr>
        <w:t>参照</w:t>
      </w:r>
      <w:r>
        <w:rPr>
          <w:rFonts w:hint="default" w:ascii="Times New Roman" w:hAnsi="Times New Roman" w:eastAsia="仿宋_GB2312" w:cs="仿宋_GB2312"/>
          <w:snapToGrid w:val="0"/>
          <w:kern w:val="0"/>
          <w:sz w:val="32"/>
          <w:szCs w:val="32"/>
          <w:lang w:val="en-US" w:eastAsia="zh-CN" w:bidi="ar-SA"/>
        </w:rPr>
        <w:t>《新疆维吾尔自治区城市道路占用费挖掘修复费管理办法》（新政办〔1999〕38 号）标准</w:t>
      </w:r>
      <w:r>
        <w:rPr>
          <w:rFonts w:hint="eastAsia" w:ascii="Times New Roman" w:hAnsi="Times New Roman" w:eastAsia="仿宋_GB2312" w:cs="仿宋_GB2312"/>
          <w:snapToGrid w:val="0"/>
          <w:kern w:val="0"/>
          <w:sz w:val="32"/>
          <w:szCs w:val="32"/>
          <w:lang w:val="en-US" w:eastAsia="zh-CN" w:bidi="ar-SA"/>
        </w:rPr>
        <w:t>收取</w:t>
      </w:r>
      <w:r>
        <w:rPr>
          <w:rFonts w:hint="eastAsia"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阿拉尔市执行“其他县（市）按60%征收”</w:t>
      </w:r>
      <w:r>
        <w:rPr>
          <w:rFonts w:hint="eastAsia" w:cs="仿宋_GB2312"/>
          <w:snapToGrid w:val="0"/>
          <w:kern w:val="0"/>
          <w:sz w:val="32"/>
          <w:szCs w:val="32"/>
          <w:lang w:val="en-US" w:eastAsia="zh-CN" w:bidi="ar-SA"/>
        </w:rPr>
        <w:t>标准</w:t>
      </w:r>
      <w:r>
        <w:rPr>
          <w:rFonts w:hint="default"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具体为：机动车、非机动车道占用费按0.18元/平方米/天收取。</w:t>
      </w:r>
    </w:p>
    <w:p w14:paraId="1DA7C78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二十</w:t>
      </w:r>
      <w:r>
        <w:rPr>
          <w:rFonts w:hint="eastAsia" w:cs="仿宋_GB2312"/>
          <w:b/>
          <w:bCs/>
          <w:snapToGrid w:val="0"/>
          <w:kern w:val="0"/>
          <w:sz w:val="32"/>
          <w:szCs w:val="32"/>
          <w:lang w:val="en-US" w:eastAsia="zh-CN" w:bidi="ar-SA"/>
        </w:rPr>
        <w:t>七</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城市道路</w:t>
      </w:r>
      <w:r>
        <w:rPr>
          <w:rFonts w:hint="eastAsia" w:cs="仿宋_GB2312"/>
          <w:snapToGrid w:val="0"/>
          <w:kern w:val="0"/>
          <w:sz w:val="32"/>
          <w:szCs w:val="32"/>
          <w:lang w:val="en-US" w:eastAsia="zh-CN" w:bidi="ar-SA"/>
        </w:rPr>
        <w:t>、绿地</w:t>
      </w:r>
      <w:r>
        <w:rPr>
          <w:rFonts w:hint="default" w:ascii="Times New Roman" w:hAnsi="Times New Roman" w:eastAsia="仿宋_GB2312" w:cs="仿宋_GB2312"/>
          <w:snapToGrid w:val="0"/>
          <w:kern w:val="0"/>
          <w:sz w:val="32"/>
          <w:szCs w:val="32"/>
          <w:lang w:val="en-US" w:eastAsia="zh-CN" w:bidi="ar-SA"/>
        </w:rPr>
        <w:t>占用</w:t>
      </w:r>
      <w:r>
        <w:rPr>
          <w:rFonts w:hint="eastAsia" w:ascii="Times New Roman" w:hAnsi="Times New Roman" w:eastAsia="仿宋_GB2312" w:cs="仿宋_GB2312"/>
          <w:snapToGrid w:val="0"/>
          <w:kern w:val="0"/>
          <w:sz w:val="32"/>
          <w:szCs w:val="32"/>
          <w:lang w:val="en-US" w:eastAsia="zh-CN" w:bidi="ar-SA"/>
        </w:rPr>
        <w:t>挖掘</w:t>
      </w:r>
      <w:r>
        <w:rPr>
          <w:rFonts w:hint="eastAsia" w:cs="仿宋_GB2312"/>
          <w:snapToGrid w:val="0"/>
          <w:kern w:val="0"/>
          <w:sz w:val="32"/>
          <w:szCs w:val="32"/>
          <w:lang w:val="en-US" w:eastAsia="zh-CN" w:bidi="ar-SA"/>
        </w:rPr>
        <w:t>申请人需按自治区相关规定，缴纳城市道路占用挖掘施工保证金、占用</w:t>
      </w:r>
      <w:r>
        <w:rPr>
          <w:rFonts w:hint="eastAsia" w:ascii="Times New Roman" w:hAnsi="Times New Roman" w:eastAsia="仿宋_GB2312" w:cs="仿宋_GB2312"/>
          <w:snapToGrid w:val="0"/>
          <w:kern w:val="0"/>
          <w:sz w:val="32"/>
          <w:szCs w:val="32"/>
          <w:lang w:val="en-US" w:eastAsia="zh-CN" w:bidi="ar-SA"/>
        </w:rPr>
        <w:t>绿</w:t>
      </w:r>
      <w:r>
        <w:rPr>
          <w:rFonts w:hint="eastAsia" w:cs="仿宋_GB2312"/>
          <w:snapToGrid w:val="0"/>
          <w:kern w:val="0"/>
          <w:sz w:val="32"/>
          <w:szCs w:val="32"/>
          <w:lang w:val="en-US" w:eastAsia="zh-CN" w:bidi="ar-SA"/>
        </w:rPr>
        <w:t>地</w:t>
      </w:r>
      <w:r>
        <w:rPr>
          <w:rFonts w:hint="eastAsia" w:ascii="Times New Roman" w:hAnsi="Times New Roman" w:eastAsia="仿宋_GB2312" w:cs="仿宋_GB2312"/>
          <w:snapToGrid w:val="0"/>
          <w:kern w:val="0"/>
          <w:sz w:val="32"/>
          <w:szCs w:val="32"/>
          <w:lang w:val="en-US" w:eastAsia="zh-CN" w:bidi="ar-SA"/>
        </w:rPr>
        <w:t>施工</w:t>
      </w:r>
      <w:r>
        <w:rPr>
          <w:rFonts w:hint="eastAsia" w:cs="仿宋_GB2312"/>
          <w:snapToGrid w:val="0"/>
          <w:kern w:val="0"/>
          <w:sz w:val="32"/>
          <w:szCs w:val="32"/>
          <w:lang w:val="en-US" w:eastAsia="zh-CN" w:bidi="ar-SA"/>
        </w:rPr>
        <w:t>保证</w:t>
      </w:r>
      <w:r>
        <w:rPr>
          <w:rFonts w:hint="eastAsia" w:ascii="Times New Roman" w:hAnsi="Times New Roman" w:eastAsia="仿宋_GB2312" w:cs="仿宋_GB2312"/>
          <w:snapToGrid w:val="0"/>
          <w:kern w:val="0"/>
          <w:sz w:val="32"/>
          <w:szCs w:val="32"/>
          <w:lang w:val="en-US" w:eastAsia="zh-CN" w:bidi="ar-SA"/>
        </w:rPr>
        <w:t>金</w:t>
      </w:r>
      <w:r>
        <w:rPr>
          <w:rFonts w:hint="eastAsia" w:cs="仿宋_GB2312"/>
          <w:snapToGrid w:val="0"/>
          <w:kern w:val="0"/>
          <w:sz w:val="32"/>
          <w:szCs w:val="32"/>
          <w:lang w:val="en-US" w:eastAsia="zh-CN" w:bidi="ar-SA"/>
        </w:rPr>
        <w:t>。</w:t>
      </w:r>
    </w:p>
    <w:p w14:paraId="0834DC6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cs="仿宋_GB2312"/>
          <w:snapToGrid w:val="0"/>
          <w:kern w:val="0"/>
          <w:sz w:val="32"/>
          <w:szCs w:val="32"/>
          <w:lang w:val="en-US" w:eastAsia="zh-CN" w:bidi="ar-SA"/>
        </w:rPr>
        <w:t>（一）阿拉尔市道路、绿地占用挖掘恢复工作由申请单位负责，道路、绿地占用挖掘申请单位须向</w:t>
      </w:r>
      <w:r>
        <w:rPr>
          <w:rFonts w:hint="eastAsia" w:ascii="Times New Roman" w:hAnsi="Times New Roman" w:eastAsia="仿宋_GB2312" w:cs="仿宋_GB2312"/>
          <w:snapToGrid w:val="0"/>
          <w:kern w:val="0"/>
          <w:sz w:val="32"/>
          <w:szCs w:val="32"/>
          <w:lang w:val="en-US" w:eastAsia="zh-CN" w:bidi="ar-SA"/>
        </w:rPr>
        <w:t>城市管理</w:t>
      </w:r>
      <w:r>
        <w:rPr>
          <w:rFonts w:hint="default" w:ascii="Times New Roman" w:hAnsi="Times New Roman" w:eastAsia="仿宋_GB2312" w:cs="Times New Roman"/>
          <w:color w:val="auto"/>
          <w:kern w:val="2"/>
          <w:sz w:val="32"/>
          <w:szCs w:val="32"/>
          <w:u w:val="none"/>
          <w:shd w:val="clear" w:color="auto" w:fill="auto"/>
          <w:lang w:val="en-US" w:eastAsia="zh-CN" w:bidi="ar-SA"/>
        </w:rPr>
        <w:t>部门</w:t>
      </w:r>
      <w:r>
        <w:rPr>
          <w:rFonts w:hint="eastAsia" w:ascii="Times New Roman" w:hAnsi="Times New Roman" w:cs="Times New Roman"/>
          <w:color w:val="auto"/>
          <w:kern w:val="2"/>
          <w:sz w:val="32"/>
          <w:szCs w:val="32"/>
          <w:u w:val="none"/>
          <w:shd w:val="clear" w:color="auto" w:fill="auto"/>
          <w:lang w:val="en-US" w:eastAsia="zh-CN" w:bidi="ar-SA"/>
        </w:rPr>
        <w:t>缴纳</w:t>
      </w:r>
      <w:r>
        <w:rPr>
          <w:rFonts w:hint="default" w:ascii="Times New Roman" w:hAnsi="Times New Roman" w:eastAsia="仿宋_GB2312" w:cs="Times New Roman"/>
          <w:color w:val="auto"/>
          <w:kern w:val="2"/>
          <w:sz w:val="32"/>
          <w:szCs w:val="32"/>
          <w:u w:val="none"/>
          <w:shd w:val="clear" w:color="auto" w:fill="auto"/>
          <w:lang w:val="en-US" w:eastAsia="zh-CN" w:bidi="ar-SA"/>
        </w:rPr>
        <w:t>城市道路</w:t>
      </w:r>
      <w:r>
        <w:rPr>
          <w:rFonts w:hint="eastAsia" w:ascii="Times New Roman" w:hAnsi="Times New Roman" w:cs="Times New Roman"/>
          <w:color w:val="auto"/>
          <w:kern w:val="2"/>
          <w:sz w:val="32"/>
          <w:szCs w:val="32"/>
          <w:u w:val="none"/>
          <w:shd w:val="clear" w:color="auto" w:fill="auto"/>
          <w:lang w:val="en-US" w:eastAsia="zh-CN" w:bidi="ar-SA"/>
        </w:rPr>
        <w:t>占用</w:t>
      </w:r>
      <w:r>
        <w:rPr>
          <w:rFonts w:hint="default" w:ascii="Times New Roman" w:hAnsi="Times New Roman" w:eastAsia="仿宋_GB2312" w:cs="Times New Roman"/>
          <w:color w:val="auto"/>
          <w:kern w:val="2"/>
          <w:sz w:val="32"/>
          <w:szCs w:val="32"/>
          <w:u w:val="none"/>
          <w:shd w:val="clear" w:color="auto" w:fill="auto"/>
          <w:lang w:val="en-US" w:eastAsia="zh-CN" w:bidi="ar-SA"/>
        </w:rPr>
        <w:t>挖掘</w:t>
      </w:r>
      <w:r>
        <w:rPr>
          <w:rFonts w:hint="eastAsia" w:cs="Times New Roman"/>
          <w:color w:val="auto"/>
          <w:kern w:val="2"/>
          <w:sz w:val="32"/>
          <w:szCs w:val="32"/>
          <w:u w:val="none"/>
          <w:shd w:val="clear" w:color="auto" w:fill="auto"/>
          <w:lang w:val="en-US" w:eastAsia="zh-CN" w:bidi="ar-SA"/>
        </w:rPr>
        <w:t>施工保证</w:t>
      </w:r>
      <w:r>
        <w:rPr>
          <w:rFonts w:hint="eastAsia" w:ascii="Times New Roman" w:hAnsi="Times New Roman" w:cs="Times New Roman"/>
          <w:color w:val="auto"/>
          <w:kern w:val="2"/>
          <w:sz w:val="32"/>
          <w:szCs w:val="32"/>
          <w:u w:val="none"/>
          <w:shd w:val="clear" w:color="auto" w:fill="auto"/>
          <w:lang w:val="en-US" w:eastAsia="zh-CN" w:bidi="ar-SA"/>
        </w:rPr>
        <w:t>金</w:t>
      </w:r>
      <w:r>
        <w:rPr>
          <w:rFonts w:hint="eastAsia" w:cs="Times New Roman"/>
          <w:color w:val="auto"/>
          <w:kern w:val="2"/>
          <w:sz w:val="32"/>
          <w:szCs w:val="32"/>
          <w:u w:val="none"/>
          <w:shd w:val="clear" w:color="auto" w:fill="auto"/>
          <w:lang w:val="en-US" w:eastAsia="zh-CN" w:bidi="ar-SA"/>
        </w:rPr>
        <w:t>；</w:t>
      </w:r>
    </w:p>
    <w:p w14:paraId="7912F3C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cs="仿宋_GB2312"/>
          <w:snapToGrid w:val="0"/>
          <w:kern w:val="0"/>
          <w:sz w:val="32"/>
          <w:szCs w:val="32"/>
          <w:lang w:val="en-US" w:eastAsia="zh-CN" w:bidi="ar-SA"/>
        </w:rPr>
      </w:pPr>
      <w:r>
        <w:rPr>
          <w:rFonts w:hint="eastAsia" w:cs="Times New Roman"/>
          <w:color w:val="auto"/>
          <w:kern w:val="2"/>
          <w:sz w:val="32"/>
          <w:szCs w:val="32"/>
          <w:u w:val="none"/>
          <w:shd w:val="clear" w:color="auto" w:fill="auto"/>
          <w:lang w:val="en-US" w:eastAsia="zh-CN" w:bidi="ar-SA"/>
        </w:rPr>
        <w:t>（二）</w:t>
      </w:r>
      <w:r>
        <w:rPr>
          <w:rFonts w:hint="eastAsia" w:ascii="Times New Roman" w:hAnsi="Times New Roman" w:eastAsia="仿宋_GB2312" w:cs="Times New Roman"/>
          <w:color w:val="auto"/>
          <w:kern w:val="2"/>
          <w:sz w:val="32"/>
          <w:szCs w:val="32"/>
          <w:u w:val="none"/>
          <w:shd w:val="clear" w:color="auto" w:fill="auto"/>
          <w:lang w:val="en-US" w:eastAsia="zh-CN" w:bidi="ar-SA"/>
        </w:rPr>
        <w:t>根据阿拉尔市道路恢复实际成本价，</w:t>
      </w:r>
      <w:r>
        <w:rPr>
          <w:rFonts w:hint="default" w:ascii="Times New Roman" w:hAnsi="Times New Roman" w:eastAsia="仿宋_GB2312" w:cs="Times New Roman"/>
          <w:color w:val="auto"/>
          <w:kern w:val="2"/>
          <w:sz w:val="32"/>
          <w:szCs w:val="32"/>
          <w:u w:val="none"/>
          <w:shd w:val="clear" w:color="auto" w:fill="auto"/>
          <w:lang w:val="en-US" w:eastAsia="zh-CN" w:bidi="ar-SA"/>
        </w:rPr>
        <w:t>城市道路</w:t>
      </w:r>
      <w:r>
        <w:rPr>
          <w:rFonts w:hint="eastAsia" w:cs="Times New Roman"/>
          <w:color w:val="auto"/>
          <w:kern w:val="2"/>
          <w:sz w:val="32"/>
          <w:szCs w:val="32"/>
          <w:u w:val="none"/>
          <w:shd w:val="clear" w:color="auto" w:fill="auto"/>
          <w:lang w:val="en-US" w:eastAsia="zh-CN" w:bidi="ar-SA"/>
        </w:rPr>
        <w:t>占用</w:t>
      </w:r>
      <w:r>
        <w:rPr>
          <w:rFonts w:hint="default" w:ascii="Times New Roman" w:hAnsi="Times New Roman" w:eastAsia="仿宋_GB2312" w:cs="Times New Roman"/>
          <w:color w:val="auto"/>
          <w:kern w:val="2"/>
          <w:sz w:val="32"/>
          <w:szCs w:val="32"/>
          <w:u w:val="none"/>
          <w:shd w:val="clear" w:color="auto" w:fill="auto"/>
          <w:lang w:val="en-US" w:eastAsia="zh-CN" w:bidi="ar-SA"/>
        </w:rPr>
        <w:t>挖掘</w:t>
      </w:r>
      <w:r>
        <w:rPr>
          <w:rFonts w:hint="eastAsia" w:cs="Times New Roman"/>
          <w:color w:val="auto"/>
          <w:kern w:val="2"/>
          <w:sz w:val="32"/>
          <w:szCs w:val="32"/>
          <w:u w:val="none"/>
          <w:shd w:val="clear" w:color="auto" w:fill="auto"/>
          <w:lang w:val="en-US" w:eastAsia="zh-CN" w:bidi="ar-SA"/>
        </w:rPr>
        <w:t>施工保证</w:t>
      </w:r>
      <w:r>
        <w:rPr>
          <w:rFonts w:hint="eastAsia" w:ascii="Times New Roman" w:hAnsi="Times New Roman" w:cs="Times New Roman"/>
          <w:color w:val="auto"/>
          <w:kern w:val="2"/>
          <w:sz w:val="32"/>
          <w:szCs w:val="32"/>
          <w:u w:val="none"/>
          <w:shd w:val="clear" w:color="auto" w:fill="auto"/>
          <w:lang w:val="en-US" w:eastAsia="zh-CN" w:bidi="ar-SA"/>
        </w:rPr>
        <w:t>金</w:t>
      </w:r>
      <w:r>
        <w:rPr>
          <w:rFonts w:hint="default" w:ascii="Times New Roman" w:hAnsi="Times New Roman" w:eastAsia="仿宋_GB2312" w:cs="仿宋_GB2312"/>
          <w:snapToGrid w:val="0"/>
          <w:kern w:val="0"/>
          <w:sz w:val="32"/>
          <w:szCs w:val="32"/>
          <w:lang w:val="en-US" w:eastAsia="zh-CN" w:bidi="ar-SA"/>
        </w:rPr>
        <w:t>缴纳标准</w:t>
      </w:r>
      <w:r>
        <w:rPr>
          <w:rFonts w:hint="eastAsia" w:cs="仿宋_GB2312"/>
          <w:snapToGrid w:val="0"/>
          <w:kern w:val="0"/>
          <w:sz w:val="32"/>
          <w:szCs w:val="32"/>
          <w:lang w:val="en-US" w:eastAsia="zh-CN" w:bidi="ar-SA"/>
        </w:rPr>
        <w:t>为：机动车道按500元/平方米收取（路面不分材质，最高收取限额50000元）；非机动车道为300元/平方米收取（路面不分材质，最高限额30000元）；</w:t>
      </w:r>
    </w:p>
    <w:p w14:paraId="68D458D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default" w:ascii="Times New Roman" w:hAnsi="Times New Roman" w:eastAsia="仿宋_GB2312" w:cs="仿宋_GB2312"/>
          <w:snapToGrid w:val="0"/>
          <w:color w:val="FF000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二十八</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城市道路占用费、施工保证金在办理城市道路、绿地占用挖掘审批时同步缴纳。城市道路占用费按非税收入征缴办法征缴至财政非税专户；城市道路、绿地占用挖掘施工保证金缴纳至城市管理部门指定账户，建设单位道路修复工程质保期满后（质保期为1年）返还保证金，占用绿地施工项目在绿化恢复验收合格后全额退还。</w:t>
      </w:r>
    </w:p>
    <w:p w14:paraId="08BD3B0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二十九</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有下列情形之一的，从施工保证金中划转相应费用用于整改或赔偿：​</w:t>
      </w:r>
    </w:p>
    <w:p w14:paraId="08B5E97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一</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施工超范围、超时限且未整改的；</w:t>
      </w:r>
    </w:p>
    <w:p w14:paraId="1D501CE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二</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修复质量不合格需委托第三方整改的，扣除整改实际费用（不足部分由建设单位补足）；​</w:t>
      </w:r>
    </w:p>
    <w:p w14:paraId="1FF7C8F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三</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施工造成道路</w:t>
      </w:r>
      <w:r>
        <w:rPr>
          <w:rFonts w:hint="eastAsia" w:cs="仿宋_GB2312"/>
          <w:snapToGrid w:val="0"/>
          <w:kern w:val="0"/>
          <w:sz w:val="32"/>
          <w:szCs w:val="32"/>
          <w:lang w:val="en-US" w:eastAsia="zh-CN" w:bidi="ar-SA"/>
        </w:rPr>
        <w:t>、绿地</w:t>
      </w:r>
      <w:r>
        <w:rPr>
          <w:rFonts w:hint="default" w:ascii="Times New Roman" w:hAnsi="Times New Roman" w:eastAsia="仿宋_GB2312" w:cs="仿宋_GB2312"/>
          <w:snapToGrid w:val="0"/>
          <w:kern w:val="0"/>
          <w:sz w:val="32"/>
          <w:szCs w:val="32"/>
          <w:lang w:val="en-US" w:eastAsia="zh-CN" w:bidi="ar-SA"/>
        </w:rPr>
        <w:t>附属设施（如井盖、路灯、护栏</w:t>
      </w:r>
      <w:r>
        <w:rPr>
          <w:rFonts w:hint="eastAsia"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交通标志</w:t>
      </w:r>
      <w:r>
        <w:rPr>
          <w:rFonts w:hint="eastAsia"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植被、灌溉管网）损坏的，按</w:t>
      </w:r>
      <w:r>
        <w:rPr>
          <w:rFonts w:hint="eastAsia" w:cs="仿宋_GB2312"/>
          <w:snapToGrid w:val="0"/>
          <w:kern w:val="0"/>
          <w:sz w:val="32"/>
          <w:szCs w:val="32"/>
          <w:lang w:val="en-US" w:eastAsia="zh-CN" w:bidi="ar-SA"/>
        </w:rPr>
        <w:t>设施造价和</w:t>
      </w:r>
      <w:r>
        <w:rPr>
          <w:rFonts w:hint="default" w:ascii="Times New Roman" w:hAnsi="Times New Roman" w:eastAsia="仿宋_GB2312" w:cs="仿宋_GB2312"/>
          <w:snapToGrid w:val="0"/>
          <w:kern w:val="0"/>
          <w:sz w:val="32"/>
          <w:szCs w:val="32"/>
          <w:lang w:val="en-US" w:eastAsia="zh-CN" w:bidi="ar-SA"/>
        </w:rPr>
        <w:t>实际维修费用扣除（不足部分由建设单位补足）；​</w:t>
      </w:r>
    </w:p>
    <w:p w14:paraId="665168F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四</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拒不履行监管要求的，可全额扣除保证金，并依法追究其他责任。​</w:t>
      </w:r>
    </w:p>
    <w:p w14:paraId="52FF976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三十</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特殊情形处理</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w:t>
      </w:r>
    </w:p>
    <w:p w14:paraId="5222E85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一</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建设单位未按规定补足扣除后保证金差额的，暂停其后续占道挖掘申请审批资格，直至补足差额</w:t>
      </w:r>
      <w:r>
        <w:rPr>
          <w:rFonts w:hint="eastAsia"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w:t>
      </w:r>
    </w:p>
    <w:p w14:paraId="329043E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黑体" w:cs="黑体"/>
          <w:b w:val="0"/>
          <w:bCs w:val="0"/>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w:t>
      </w:r>
      <w:r>
        <w:rPr>
          <w:rFonts w:hint="eastAsia" w:cs="仿宋_GB2312"/>
          <w:snapToGrid w:val="0"/>
          <w:kern w:val="0"/>
          <w:sz w:val="32"/>
          <w:szCs w:val="32"/>
          <w:lang w:val="en-US" w:eastAsia="zh-CN" w:bidi="ar-SA"/>
        </w:rPr>
        <w:t>二</w:t>
      </w:r>
      <w:r>
        <w:rPr>
          <w:rFonts w:hint="eastAsia" w:ascii="Times New Roman" w:hAnsi="Times New Roman" w:eastAsia="仿宋_GB2312"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应急抢修项目可先施工，3个工作日内补缴占道费</w:t>
      </w:r>
      <w:r>
        <w:rPr>
          <w:rFonts w:hint="eastAsia"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施工保证金，逾期未缴按擅自挖掘</w:t>
      </w:r>
      <w:r>
        <w:rPr>
          <w:rFonts w:hint="eastAsia" w:cs="仿宋_GB2312"/>
          <w:snapToGrid w:val="0"/>
          <w:kern w:val="0"/>
          <w:sz w:val="32"/>
          <w:szCs w:val="32"/>
          <w:lang w:val="en-US" w:eastAsia="zh-CN" w:bidi="ar-SA"/>
        </w:rPr>
        <w:t>依法</w:t>
      </w:r>
      <w:r>
        <w:rPr>
          <w:rFonts w:hint="default" w:ascii="Times New Roman" w:hAnsi="Times New Roman" w:eastAsia="仿宋_GB2312" w:cs="仿宋_GB2312"/>
          <w:snapToGrid w:val="0"/>
          <w:kern w:val="0"/>
          <w:sz w:val="32"/>
          <w:szCs w:val="32"/>
          <w:lang w:val="en-US" w:eastAsia="zh-CN" w:bidi="ar-SA"/>
        </w:rPr>
        <w:t>处理。</w:t>
      </w:r>
    </w:p>
    <w:p w14:paraId="0AA4687B">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default" w:ascii="Times New Roman" w:hAnsi="Times New Roman" w:eastAsia="黑体" w:cs="黑体"/>
          <w:b w:val="0"/>
          <w:bCs w:val="0"/>
          <w:snapToGrid w:val="0"/>
          <w:kern w:val="0"/>
          <w:sz w:val="32"/>
          <w:szCs w:val="32"/>
          <w:lang w:val="en-US" w:eastAsia="zh-CN" w:bidi="ar-SA"/>
        </w:rPr>
      </w:pPr>
    </w:p>
    <w:p w14:paraId="7BBFB162">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eastAsia" w:ascii="宋体" w:hAnsi="宋体" w:eastAsia="宋体" w:cs="宋体"/>
          <w:b w:val="0"/>
          <w:i w:val="0"/>
          <w:iCs w:val="0"/>
          <w:caps w:val="0"/>
          <w:strike w:val="0"/>
          <w:color w:val="auto"/>
          <w:spacing w:val="0"/>
          <w:sz w:val="32"/>
          <w:szCs w:val="32"/>
          <w:u w:val="none"/>
        </w:rPr>
      </w:pPr>
      <w:r>
        <w:rPr>
          <w:rFonts w:hint="default" w:ascii="Times New Roman" w:hAnsi="Times New Roman" w:eastAsia="黑体" w:cs="黑体"/>
          <w:b w:val="0"/>
          <w:bCs w:val="0"/>
          <w:snapToGrid w:val="0"/>
          <w:kern w:val="0"/>
          <w:sz w:val="32"/>
          <w:szCs w:val="32"/>
          <w:lang w:val="en-US" w:eastAsia="zh-CN" w:bidi="ar-SA"/>
        </w:rPr>
        <w:t>第</w:t>
      </w:r>
      <w:r>
        <w:rPr>
          <w:rFonts w:hint="eastAsia" w:eastAsia="黑体" w:cs="黑体"/>
          <w:b w:val="0"/>
          <w:bCs w:val="0"/>
          <w:snapToGrid w:val="0"/>
          <w:kern w:val="0"/>
          <w:sz w:val="32"/>
          <w:szCs w:val="32"/>
          <w:lang w:val="en-US" w:eastAsia="zh-CN" w:bidi="ar-SA"/>
        </w:rPr>
        <w:t>五</w:t>
      </w:r>
      <w:r>
        <w:rPr>
          <w:rFonts w:hint="default" w:ascii="Times New Roman" w:hAnsi="Times New Roman" w:eastAsia="黑体" w:cs="黑体"/>
          <w:b w:val="0"/>
          <w:bCs w:val="0"/>
          <w:snapToGrid w:val="0"/>
          <w:kern w:val="0"/>
          <w:sz w:val="32"/>
          <w:szCs w:val="32"/>
          <w:lang w:val="en-US" w:eastAsia="zh-CN" w:bidi="ar-SA"/>
        </w:rPr>
        <w:t>章  </w:t>
      </w:r>
      <w:r>
        <w:rPr>
          <w:rFonts w:hint="eastAsia" w:eastAsia="黑体" w:cs="黑体"/>
          <w:b w:val="0"/>
          <w:bCs w:val="0"/>
          <w:snapToGrid w:val="0"/>
          <w:kern w:val="0"/>
          <w:sz w:val="32"/>
          <w:szCs w:val="32"/>
          <w:lang w:val="en-US" w:eastAsia="zh-CN" w:bidi="ar-SA"/>
        </w:rPr>
        <w:t>占用</w:t>
      </w:r>
      <w:r>
        <w:rPr>
          <w:rFonts w:hint="default" w:ascii="Times New Roman" w:hAnsi="Times New Roman" w:eastAsia="黑体" w:cs="黑体"/>
          <w:b w:val="0"/>
          <w:bCs w:val="0"/>
          <w:snapToGrid w:val="0"/>
          <w:kern w:val="0"/>
          <w:sz w:val="32"/>
          <w:szCs w:val="32"/>
          <w:lang w:val="en-US" w:eastAsia="zh-CN" w:bidi="ar-SA"/>
        </w:rPr>
        <w:t>挖掘</w:t>
      </w:r>
      <w:r>
        <w:rPr>
          <w:rFonts w:hint="eastAsia" w:eastAsia="黑体" w:cs="黑体"/>
          <w:b w:val="0"/>
          <w:bCs w:val="0"/>
          <w:snapToGrid w:val="0"/>
          <w:kern w:val="0"/>
          <w:sz w:val="32"/>
          <w:szCs w:val="32"/>
          <w:lang w:val="en-US" w:eastAsia="zh-CN" w:bidi="ar-SA"/>
        </w:rPr>
        <w:t>城市道路</w:t>
      </w:r>
      <w:r>
        <w:rPr>
          <w:rFonts w:hint="default" w:ascii="Times New Roman" w:hAnsi="Times New Roman" w:eastAsia="黑体" w:cs="黑体"/>
          <w:b w:val="0"/>
          <w:bCs w:val="0"/>
          <w:snapToGrid w:val="0"/>
          <w:kern w:val="0"/>
          <w:sz w:val="32"/>
          <w:szCs w:val="32"/>
          <w:lang w:val="en-US" w:eastAsia="zh-CN" w:bidi="ar-SA"/>
        </w:rPr>
        <w:t>管理</w:t>
      </w:r>
    </w:p>
    <w:p w14:paraId="042C5A5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三十一</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住房和城乡建设部门</w:t>
      </w:r>
      <w:r>
        <w:rPr>
          <w:rFonts w:hint="eastAsia" w:cs="仿宋_GB2312"/>
          <w:snapToGrid w:val="0"/>
          <w:kern w:val="0"/>
          <w:sz w:val="32"/>
          <w:szCs w:val="32"/>
          <w:lang w:val="en-US" w:eastAsia="zh-CN" w:bidi="ar-SA"/>
        </w:rPr>
        <w:t>、</w:t>
      </w:r>
      <w:r>
        <w:rPr>
          <w:rFonts w:hint="eastAsia" w:ascii="Times New Roman" w:hAnsi="Times New Roman" w:eastAsia="仿宋_GB2312" w:cs="仿宋_GB2312"/>
          <w:snapToGrid w:val="0"/>
          <w:kern w:val="0"/>
          <w:sz w:val="32"/>
          <w:szCs w:val="32"/>
          <w:lang w:val="en-US" w:eastAsia="zh-CN" w:bidi="ar-SA"/>
        </w:rPr>
        <w:t>城市管理部门</w:t>
      </w:r>
      <w:r>
        <w:rPr>
          <w:rFonts w:hint="default" w:ascii="Times New Roman" w:hAnsi="Times New Roman" w:eastAsia="仿宋_GB2312" w:cs="仿宋_GB2312"/>
          <w:snapToGrid w:val="0"/>
          <w:kern w:val="0"/>
          <w:sz w:val="32"/>
          <w:szCs w:val="32"/>
          <w:lang w:val="en-US" w:eastAsia="zh-CN" w:bidi="ar-SA"/>
        </w:rPr>
        <w:t>应当按照勘查、</w:t>
      </w:r>
      <w:r>
        <w:rPr>
          <w:rFonts w:hint="eastAsia" w:ascii="Times New Roman" w:hAnsi="Times New Roman" w:eastAsia="仿宋_GB2312" w:cs="仿宋_GB2312"/>
          <w:snapToGrid w:val="0"/>
          <w:kern w:val="0"/>
          <w:sz w:val="32"/>
          <w:szCs w:val="32"/>
          <w:lang w:val="en-US" w:eastAsia="zh-CN" w:bidi="ar-SA"/>
        </w:rPr>
        <w:t>审批、建设、</w:t>
      </w:r>
      <w:r>
        <w:rPr>
          <w:rFonts w:hint="default" w:ascii="Times New Roman" w:hAnsi="Times New Roman" w:eastAsia="仿宋_GB2312" w:cs="仿宋_GB2312"/>
          <w:snapToGrid w:val="0"/>
          <w:kern w:val="0"/>
          <w:sz w:val="32"/>
          <w:szCs w:val="32"/>
          <w:lang w:val="en-US" w:eastAsia="zh-CN" w:bidi="ar-SA"/>
        </w:rPr>
        <w:t>检查、</w:t>
      </w:r>
      <w:r>
        <w:rPr>
          <w:rFonts w:hint="eastAsia" w:ascii="Times New Roman" w:hAnsi="Times New Roman" w:eastAsia="仿宋_GB2312" w:cs="仿宋_GB2312"/>
          <w:snapToGrid w:val="0"/>
          <w:kern w:val="0"/>
          <w:sz w:val="32"/>
          <w:szCs w:val="32"/>
          <w:lang w:val="en-US" w:eastAsia="zh-CN" w:bidi="ar-SA"/>
        </w:rPr>
        <w:t>恢复、</w:t>
      </w:r>
      <w:r>
        <w:rPr>
          <w:rFonts w:hint="default" w:ascii="Times New Roman" w:hAnsi="Times New Roman" w:eastAsia="仿宋_GB2312" w:cs="仿宋_GB2312"/>
          <w:snapToGrid w:val="0"/>
          <w:kern w:val="0"/>
          <w:sz w:val="32"/>
          <w:szCs w:val="32"/>
          <w:lang w:val="en-US" w:eastAsia="zh-CN" w:bidi="ar-SA"/>
        </w:rPr>
        <w:t>验收程序，加强许可管理和批后监督，保证</w:t>
      </w:r>
      <w:r>
        <w:rPr>
          <w:rFonts w:hint="eastAsia" w:ascii="Times New Roman" w:hAnsi="Times New Roman" w:eastAsia="仿宋_GB2312" w:cs="仿宋_GB2312"/>
          <w:snapToGrid w:val="0"/>
          <w:kern w:val="0"/>
          <w:sz w:val="32"/>
          <w:szCs w:val="32"/>
          <w:lang w:val="en-US" w:eastAsia="zh-CN" w:bidi="ar-SA"/>
        </w:rPr>
        <w:t>占道</w:t>
      </w:r>
      <w:r>
        <w:rPr>
          <w:rFonts w:hint="default" w:ascii="Times New Roman" w:hAnsi="Times New Roman" w:eastAsia="仿宋_GB2312" w:cs="仿宋_GB2312"/>
          <w:snapToGrid w:val="0"/>
          <w:kern w:val="0"/>
          <w:sz w:val="32"/>
          <w:szCs w:val="32"/>
          <w:lang w:val="en-US" w:eastAsia="zh-CN" w:bidi="ar-SA"/>
        </w:rPr>
        <w:t>挖掘施工按照许可内容实施。</w:t>
      </w:r>
    </w:p>
    <w:p w14:paraId="22FC169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cs="仿宋_GB2312"/>
          <w:b/>
          <w:bCs/>
          <w:snapToGrid w:val="0"/>
          <w:kern w:val="0"/>
          <w:sz w:val="32"/>
          <w:szCs w:val="32"/>
          <w:lang w:val="en-US" w:eastAsia="zh-CN" w:bidi="ar-SA"/>
        </w:rPr>
        <w:t xml:space="preserve">第三十二条  </w:t>
      </w:r>
      <w:r>
        <w:rPr>
          <w:rFonts w:hint="eastAsia" w:ascii="Times New Roman" w:hAnsi="Times New Roman" w:eastAsia="仿宋_GB2312" w:cs="仿宋_GB2312"/>
          <w:snapToGrid w:val="0"/>
          <w:kern w:val="0"/>
          <w:sz w:val="32"/>
          <w:szCs w:val="32"/>
          <w:lang w:val="en-US" w:eastAsia="zh-CN" w:bidi="ar-SA"/>
        </w:rPr>
        <w:t>建设单位应当按要求将道路开挖、回填、压实、路面修复、路基脱空勘探、空洞注浆、工后换填、质量检测以及可能引起的道路次生损害修复等费用专项列入设计（施工）方案。建设单位实施规模较大的占用挖掘道路项目时，在初步设计（施工图设计）等方案论证阶段，应当充分考虑涉路部分的合规性和技术要求，必要时可书面征求住房和城乡建设部门、城市管理部门、市政道路管养单位意见。</w:t>
      </w:r>
    </w:p>
    <w:p w14:paraId="34C8E45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cs="仿宋_GB2312"/>
          <w:b/>
          <w:bCs/>
          <w:snapToGrid w:val="0"/>
          <w:kern w:val="0"/>
          <w:sz w:val="32"/>
          <w:szCs w:val="32"/>
          <w:lang w:val="en-US" w:eastAsia="zh-CN" w:bidi="ar-SA"/>
        </w:rPr>
        <w:t xml:space="preserve">第三十三条  </w:t>
      </w:r>
      <w:r>
        <w:rPr>
          <w:rFonts w:hint="eastAsia" w:ascii="Times New Roman" w:hAnsi="Times New Roman" w:eastAsia="仿宋_GB2312" w:cs="仿宋_GB2312"/>
          <w:snapToGrid w:val="0"/>
          <w:kern w:val="0"/>
          <w:sz w:val="32"/>
          <w:szCs w:val="32"/>
          <w:lang w:val="en-US" w:eastAsia="zh-CN" w:bidi="ar-SA"/>
        </w:rPr>
        <w:t>规模较大的占用挖掘道路项目，建设单位应当委托具有公路工程或道路工程建设（养护）资质的企业（单位）进行道路开挖及修复。</w:t>
      </w:r>
    </w:p>
    <w:p w14:paraId="5BEB1B5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规模较小的占用挖掘道路项目，建设单位可以委托具有公路、城市道路修复专业能力的企业（单位）进行道路开挖及修复。</w:t>
      </w:r>
    </w:p>
    <w:p w14:paraId="10F6832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三十</w:t>
      </w:r>
      <w:r>
        <w:rPr>
          <w:rFonts w:hint="eastAsia" w:cs="仿宋_GB2312"/>
          <w:b/>
          <w:bCs/>
          <w:snapToGrid w:val="0"/>
          <w:kern w:val="0"/>
          <w:sz w:val="32"/>
          <w:szCs w:val="32"/>
          <w:lang w:val="en-US" w:eastAsia="zh-CN" w:bidi="ar-SA"/>
        </w:rPr>
        <w:t>四</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在已建成道路上敷设地下管线、更换管道优先采用非开挖技术施工，无法进行非开挖技术施工的，应当采取错峰、分段施工，保障交通通行。</w:t>
      </w:r>
    </w:p>
    <w:p w14:paraId="734A5FA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各类地下管线应当严格执行规范标准规定的安全深度和质量保证措施。建设单位应当对因不规范敷设地下管线造成安全事故承担相应的责任。</w:t>
      </w:r>
    </w:p>
    <w:p w14:paraId="2C6C83C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各类地下管线未经</w:t>
      </w:r>
      <w:r>
        <w:rPr>
          <w:rFonts w:hint="eastAsia" w:cs="仿宋_GB2312"/>
          <w:snapToGrid w:val="0"/>
          <w:kern w:val="0"/>
          <w:sz w:val="32"/>
          <w:szCs w:val="32"/>
          <w:lang w:val="en-US" w:eastAsia="zh-CN" w:bidi="ar-SA"/>
        </w:rPr>
        <w:t>供</w:t>
      </w:r>
      <w:r>
        <w:rPr>
          <w:rFonts w:hint="default" w:ascii="Times New Roman" w:hAnsi="Times New Roman" w:eastAsia="仿宋_GB2312" w:cs="仿宋_GB2312"/>
          <w:snapToGrid w:val="0"/>
          <w:kern w:val="0"/>
          <w:sz w:val="32"/>
          <w:szCs w:val="32"/>
          <w:lang w:val="en-US" w:eastAsia="zh-CN" w:bidi="ar-SA"/>
        </w:rPr>
        <w:t>排水管理部门同意，不得穿越</w:t>
      </w:r>
      <w:r>
        <w:rPr>
          <w:rFonts w:hint="eastAsia" w:cs="仿宋_GB2312"/>
          <w:snapToGrid w:val="0"/>
          <w:kern w:val="0"/>
          <w:sz w:val="32"/>
          <w:szCs w:val="32"/>
          <w:lang w:val="en-US" w:eastAsia="zh-CN" w:bidi="ar-SA"/>
        </w:rPr>
        <w:t>供</w:t>
      </w:r>
      <w:r>
        <w:rPr>
          <w:rFonts w:hint="default" w:ascii="Times New Roman" w:hAnsi="Times New Roman" w:eastAsia="仿宋_GB2312" w:cs="仿宋_GB2312"/>
          <w:snapToGrid w:val="0"/>
          <w:kern w:val="0"/>
          <w:sz w:val="32"/>
          <w:szCs w:val="32"/>
          <w:lang w:val="en-US" w:eastAsia="zh-CN" w:bidi="ar-SA"/>
        </w:rPr>
        <w:t>排水管涵，穿越</w:t>
      </w:r>
      <w:r>
        <w:rPr>
          <w:rFonts w:hint="eastAsia" w:cs="仿宋_GB2312"/>
          <w:snapToGrid w:val="0"/>
          <w:kern w:val="0"/>
          <w:sz w:val="32"/>
          <w:szCs w:val="32"/>
          <w:lang w:val="en-US" w:eastAsia="zh-CN" w:bidi="ar-SA"/>
        </w:rPr>
        <w:t>供</w:t>
      </w:r>
      <w:r>
        <w:rPr>
          <w:rFonts w:hint="default" w:ascii="Times New Roman" w:hAnsi="Times New Roman" w:eastAsia="仿宋_GB2312" w:cs="仿宋_GB2312"/>
          <w:snapToGrid w:val="0"/>
          <w:kern w:val="0"/>
          <w:sz w:val="32"/>
          <w:szCs w:val="32"/>
          <w:lang w:val="en-US" w:eastAsia="zh-CN" w:bidi="ar-SA"/>
        </w:rPr>
        <w:t>排水管网造成</w:t>
      </w:r>
      <w:r>
        <w:rPr>
          <w:rFonts w:hint="eastAsia" w:cs="仿宋_GB2312"/>
          <w:snapToGrid w:val="0"/>
          <w:kern w:val="0"/>
          <w:sz w:val="32"/>
          <w:szCs w:val="32"/>
          <w:lang w:val="en-US" w:eastAsia="zh-CN" w:bidi="ar-SA"/>
        </w:rPr>
        <w:t>供</w:t>
      </w:r>
      <w:r>
        <w:rPr>
          <w:rFonts w:hint="default" w:ascii="Times New Roman" w:hAnsi="Times New Roman" w:eastAsia="仿宋_GB2312" w:cs="仿宋_GB2312"/>
          <w:snapToGrid w:val="0"/>
          <w:kern w:val="0"/>
          <w:sz w:val="32"/>
          <w:szCs w:val="32"/>
          <w:lang w:val="en-US" w:eastAsia="zh-CN" w:bidi="ar-SA"/>
        </w:rPr>
        <w:t>排水管网损坏和安全事故的，应当承担相应的责任。</w:t>
      </w:r>
    </w:p>
    <w:p w14:paraId="0E346C4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三十</w:t>
      </w:r>
      <w:r>
        <w:rPr>
          <w:rFonts w:hint="eastAsia" w:cs="仿宋_GB2312"/>
          <w:b/>
          <w:bCs/>
          <w:snapToGrid w:val="0"/>
          <w:kern w:val="0"/>
          <w:sz w:val="32"/>
          <w:szCs w:val="32"/>
          <w:lang w:val="en-US" w:eastAsia="zh-CN" w:bidi="ar-SA"/>
        </w:rPr>
        <w:t>五</w:t>
      </w:r>
      <w:r>
        <w:rPr>
          <w:rFonts w:hint="default"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特殊地段、横穿主次干道或者挖掘长度超过200米的挖掘工程，申请</w:t>
      </w:r>
      <w:r>
        <w:rPr>
          <w:rFonts w:hint="eastAsia" w:ascii="Times New Roman" w:hAnsi="Times New Roman" w:eastAsia="仿宋_GB2312" w:cs="仿宋_GB2312"/>
          <w:snapToGrid w:val="0"/>
          <w:kern w:val="0"/>
          <w:sz w:val="32"/>
          <w:szCs w:val="32"/>
          <w:lang w:val="en-US" w:eastAsia="zh-CN" w:bidi="ar-SA"/>
        </w:rPr>
        <w:t>单位</w:t>
      </w:r>
      <w:r>
        <w:rPr>
          <w:rFonts w:hint="default" w:ascii="Times New Roman" w:hAnsi="Times New Roman" w:eastAsia="仿宋_GB2312" w:cs="仿宋_GB2312"/>
          <w:snapToGrid w:val="0"/>
          <w:kern w:val="0"/>
          <w:sz w:val="32"/>
          <w:szCs w:val="32"/>
          <w:lang w:val="en-US" w:eastAsia="zh-CN" w:bidi="ar-SA"/>
        </w:rPr>
        <w:t>应当提前2个工作日向</w:t>
      </w:r>
      <w:r>
        <w:rPr>
          <w:rFonts w:hint="eastAsia" w:ascii="Times New Roman" w:hAnsi="Times New Roman" w:eastAsia="仿宋_GB2312" w:cs="仿宋_GB2312"/>
          <w:snapToGrid w:val="0"/>
          <w:kern w:val="0"/>
          <w:sz w:val="32"/>
          <w:szCs w:val="32"/>
          <w:lang w:val="en-US" w:eastAsia="zh-CN" w:bidi="ar-SA"/>
        </w:rPr>
        <w:t>城市管理部门</w:t>
      </w:r>
      <w:r>
        <w:rPr>
          <w:rFonts w:hint="default" w:ascii="Times New Roman" w:hAnsi="Times New Roman" w:eastAsia="仿宋_GB2312" w:cs="仿宋_GB2312"/>
          <w:snapToGrid w:val="0"/>
          <w:kern w:val="0"/>
          <w:sz w:val="32"/>
          <w:szCs w:val="32"/>
          <w:lang w:val="en-US" w:eastAsia="zh-CN" w:bidi="ar-SA"/>
        </w:rPr>
        <w:t>提交开工报告以及安全文明施工措施方案，施工中应</w:t>
      </w:r>
      <w:r>
        <w:rPr>
          <w:rFonts w:hint="eastAsia" w:cs="仿宋_GB2312"/>
          <w:snapToGrid w:val="0"/>
          <w:kern w:val="0"/>
          <w:sz w:val="32"/>
          <w:szCs w:val="32"/>
          <w:lang w:val="en-US" w:eastAsia="zh-CN" w:bidi="ar-SA"/>
        </w:rPr>
        <w:t>当规范设置围挡，</w:t>
      </w:r>
      <w:r>
        <w:rPr>
          <w:rFonts w:hint="default" w:ascii="Times New Roman" w:hAnsi="Times New Roman" w:eastAsia="仿宋_GB2312" w:cs="仿宋_GB2312"/>
          <w:snapToGrid w:val="0"/>
          <w:kern w:val="0"/>
          <w:sz w:val="32"/>
          <w:szCs w:val="32"/>
          <w:lang w:val="en-US" w:eastAsia="zh-CN" w:bidi="ar-SA"/>
        </w:rPr>
        <w:t>采用分段</w:t>
      </w:r>
      <w:r>
        <w:rPr>
          <w:rFonts w:hint="eastAsia" w:cs="仿宋_GB2312"/>
          <w:snapToGrid w:val="0"/>
          <w:kern w:val="0"/>
          <w:sz w:val="32"/>
          <w:szCs w:val="32"/>
          <w:lang w:val="en-US" w:eastAsia="zh-CN" w:bidi="ar-SA"/>
        </w:rPr>
        <w:t>围挡分段</w:t>
      </w:r>
      <w:r>
        <w:rPr>
          <w:rFonts w:hint="default" w:ascii="Times New Roman" w:hAnsi="Times New Roman" w:eastAsia="仿宋_GB2312" w:cs="仿宋_GB2312"/>
          <w:snapToGrid w:val="0"/>
          <w:kern w:val="0"/>
          <w:sz w:val="32"/>
          <w:szCs w:val="32"/>
          <w:lang w:val="en-US" w:eastAsia="zh-CN" w:bidi="ar-SA"/>
        </w:rPr>
        <w:t>施工的方法，每段长度不宜超过150米</w:t>
      </w:r>
      <w:r>
        <w:rPr>
          <w:rFonts w:hint="eastAsia" w:cs="仿宋_GB2312"/>
          <w:snapToGrid w:val="0"/>
          <w:kern w:val="0"/>
          <w:sz w:val="32"/>
          <w:szCs w:val="32"/>
          <w:lang w:val="en-US" w:eastAsia="zh-CN" w:bidi="ar-SA"/>
        </w:rPr>
        <w:t>，并</w:t>
      </w:r>
      <w:r>
        <w:rPr>
          <w:rFonts w:hint="default" w:ascii="Times New Roman" w:hAnsi="Times New Roman" w:eastAsia="仿宋_GB2312" w:cs="仿宋_GB2312"/>
          <w:snapToGrid w:val="0"/>
          <w:kern w:val="0"/>
          <w:sz w:val="32"/>
          <w:szCs w:val="32"/>
          <w:lang w:val="en-US" w:eastAsia="zh-CN" w:bidi="ar-SA"/>
        </w:rPr>
        <w:t>安排专人维护交通秩序。</w:t>
      </w:r>
    </w:p>
    <w:p w14:paraId="7DAE469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在汛期施工的，申请单位还应当提交防汛预案。</w:t>
      </w:r>
    </w:p>
    <w:p w14:paraId="4157FD7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三十</w:t>
      </w:r>
      <w:r>
        <w:rPr>
          <w:rFonts w:hint="eastAsia" w:cs="仿宋_GB2312"/>
          <w:b/>
          <w:bCs/>
          <w:snapToGrid w:val="0"/>
          <w:kern w:val="0"/>
          <w:sz w:val="32"/>
          <w:szCs w:val="32"/>
          <w:lang w:val="en-US" w:eastAsia="zh-CN" w:bidi="ar-SA"/>
        </w:rPr>
        <w:t>六</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eastAsia" w:ascii="Times New Roman" w:hAnsi="Times New Roman" w:eastAsia="仿宋_GB2312" w:cs="仿宋_GB2312"/>
          <w:snapToGrid w:val="0"/>
          <w:kern w:val="0"/>
          <w:sz w:val="32"/>
          <w:szCs w:val="32"/>
          <w:lang w:val="en-US" w:eastAsia="zh-CN" w:bidi="ar-SA"/>
        </w:rPr>
        <w:t>占道</w:t>
      </w:r>
      <w:r>
        <w:rPr>
          <w:rFonts w:hint="default" w:ascii="Times New Roman" w:hAnsi="Times New Roman" w:eastAsia="仿宋_GB2312" w:cs="仿宋_GB2312"/>
          <w:snapToGrid w:val="0"/>
          <w:kern w:val="0"/>
          <w:sz w:val="32"/>
          <w:szCs w:val="32"/>
          <w:lang w:val="en-US" w:eastAsia="zh-CN" w:bidi="ar-SA"/>
        </w:rPr>
        <w:t>挖掘施工前，建设单位、施工单位、地下管线产权单位应当共同做好地下管线保护工作。</w:t>
      </w:r>
    </w:p>
    <w:p w14:paraId="173310A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建设单位应当对接城建档案管理、地下管线产权单位等部门查明工程范围内的管线现状资料，并组织施工、监理以及地下管线产权单位召开施工前的协调交底会，并与地下管线产权单位签订管线保护协议。</w:t>
      </w:r>
    </w:p>
    <w:p w14:paraId="641DE61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施工单位在施工前应当主动与地下管线产权单位沟通，了解管线技术和管理要求，编制地下管线保护施工方案，并严格按照方案进行施工。</w:t>
      </w:r>
    </w:p>
    <w:p w14:paraId="2ABBD4A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地下管线产权单位应当参加协调交底会，对提供的地下管线交底资料的准确性负责，及时签订管线保护协议并积极配合提供相关管线信息。</w:t>
      </w:r>
    </w:p>
    <w:p w14:paraId="2A5828A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三</w:t>
      </w:r>
      <w:r>
        <w:rPr>
          <w:rFonts w:hint="default" w:ascii="Times New Roman" w:hAnsi="Times New Roman" w:eastAsia="仿宋_GB2312" w:cs="仿宋_GB2312"/>
          <w:b/>
          <w:bCs/>
          <w:snapToGrid w:val="0"/>
          <w:kern w:val="0"/>
          <w:sz w:val="32"/>
          <w:szCs w:val="32"/>
          <w:lang w:val="en-US" w:eastAsia="zh-CN" w:bidi="ar-SA"/>
        </w:rPr>
        <w:t>十</w:t>
      </w:r>
      <w:r>
        <w:rPr>
          <w:rFonts w:hint="eastAsia" w:cs="仿宋_GB2312"/>
          <w:b/>
          <w:bCs/>
          <w:snapToGrid w:val="0"/>
          <w:kern w:val="0"/>
          <w:sz w:val="32"/>
          <w:szCs w:val="32"/>
          <w:lang w:val="en-US" w:eastAsia="zh-CN" w:bidi="ar-SA"/>
        </w:rPr>
        <w:t>七</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eastAsia" w:ascii="Times New Roman" w:hAnsi="Times New Roman" w:eastAsia="仿宋_GB2312" w:cs="仿宋_GB2312"/>
          <w:snapToGrid w:val="0"/>
          <w:kern w:val="0"/>
          <w:sz w:val="32"/>
          <w:szCs w:val="32"/>
          <w:lang w:val="en-US" w:eastAsia="zh-CN" w:bidi="ar-SA"/>
        </w:rPr>
        <w:t>占道</w:t>
      </w:r>
      <w:r>
        <w:rPr>
          <w:rFonts w:hint="default" w:ascii="Times New Roman" w:hAnsi="Times New Roman" w:eastAsia="仿宋_GB2312" w:cs="仿宋_GB2312"/>
          <w:snapToGrid w:val="0"/>
          <w:kern w:val="0"/>
          <w:sz w:val="32"/>
          <w:szCs w:val="32"/>
          <w:lang w:val="en-US" w:eastAsia="zh-CN" w:bidi="ar-SA"/>
        </w:rPr>
        <w:t>挖掘施工期间，建设单位、施工单位、地下管线产权单位应当采取有效措施保护地下管线设施。</w:t>
      </w:r>
    </w:p>
    <w:p w14:paraId="1201BAD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建设单位应当督促施工单位按照安全文明标准进行施工，对施工造成的管线损坏应当督促施工单位及时整改，施工单位应当依据合同约定承担相应责任以及其他法律责任。</w:t>
      </w:r>
    </w:p>
    <w:p w14:paraId="39FE5A6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施工单位采取安全、可靠的方法进行施工，不得损坏既有设施。挖掘施工与地下其他设施发生交叉时，应当立即停止施工，并及时向建设单位报告，协调确认后依据建设单位和地下管线产权单位意见施工。因施工造成既有设施损坏的，应当无条件协助管线单位抢修，并依法承担相应赔偿责任。</w:t>
      </w:r>
    </w:p>
    <w:p w14:paraId="19A998B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地下管线产权单位应当积极配合，加强</w:t>
      </w:r>
      <w:r>
        <w:rPr>
          <w:rFonts w:hint="eastAsia" w:ascii="Times New Roman" w:hAnsi="Times New Roman" w:eastAsia="仿宋_GB2312" w:cs="仿宋_GB2312"/>
          <w:snapToGrid w:val="0"/>
          <w:kern w:val="0"/>
          <w:sz w:val="32"/>
          <w:szCs w:val="32"/>
          <w:lang w:val="en-US" w:eastAsia="zh-CN" w:bidi="ar-SA"/>
        </w:rPr>
        <w:t>占道</w:t>
      </w:r>
      <w:r>
        <w:rPr>
          <w:rFonts w:hint="default" w:ascii="Times New Roman" w:hAnsi="Times New Roman" w:eastAsia="仿宋_GB2312" w:cs="仿宋_GB2312"/>
          <w:snapToGrid w:val="0"/>
          <w:kern w:val="0"/>
          <w:sz w:val="32"/>
          <w:szCs w:val="32"/>
          <w:lang w:val="en-US" w:eastAsia="zh-CN" w:bidi="ar-SA"/>
        </w:rPr>
        <w:t>挖掘施工工地的巡查，指导施工作业，及时制止不规范操作，并及时向建设单位或者有关主管部门报告管线保护方面存在的安全隐患。</w:t>
      </w:r>
    </w:p>
    <w:p w14:paraId="66B95378">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三十八</w:t>
      </w:r>
      <w:r>
        <w:rPr>
          <w:rFonts w:hint="default"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占用挖掘城市道路在工程实施前以及施工现场应当按照</w:t>
      </w:r>
      <w:r>
        <w:rPr>
          <w:rFonts w:hint="eastAsia" w:cs="仿宋_GB2312"/>
          <w:snapToGrid w:val="0"/>
          <w:kern w:val="0"/>
          <w:sz w:val="32"/>
          <w:szCs w:val="32"/>
          <w:lang w:val="en-US" w:eastAsia="zh-CN" w:bidi="ar-SA"/>
        </w:rPr>
        <w:t>规定</w:t>
      </w:r>
      <w:r>
        <w:rPr>
          <w:rFonts w:hint="default" w:ascii="Times New Roman" w:hAnsi="Times New Roman" w:eastAsia="仿宋_GB2312" w:cs="仿宋_GB2312"/>
          <w:snapToGrid w:val="0"/>
          <w:kern w:val="0"/>
          <w:sz w:val="32"/>
          <w:szCs w:val="32"/>
          <w:lang w:val="en-US" w:eastAsia="zh-CN" w:bidi="ar-SA"/>
        </w:rPr>
        <w:t>设置安全警示标志和防护设施，</w:t>
      </w:r>
      <w:r>
        <w:rPr>
          <w:rFonts w:hint="eastAsia" w:cs="仿宋_GB2312"/>
          <w:snapToGrid w:val="0"/>
          <w:kern w:val="0"/>
          <w:sz w:val="32"/>
          <w:szCs w:val="32"/>
          <w:lang w:val="en-US" w:eastAsia="zh-CN" w:bidi="ar-SA"/>
        </w:rPr>
        <w:t>并安装</w:t>
      </w:r>
      <w:r>
        <w:rPr>
          <w:rFonts w:hint="default" w:ascii="Times New Roman" w:hAnsi="Times New Roman" w:eastAsia="仿宋_GB2312" w:cs="仿宋_GB2312"/>
          <w:snapToGrid w:val="0"/>
          <w:kern w:val="0"/>
          <w:sz w:val="32"/>
          <w:szCs w:val="32"/>
          <w:lang w:val="en-US" w:eastAsia="zh-CN" w:bidi="ar-SA"/>
        </w:rPr>
        <w:t>1.8m以上硬质围挡，夜间亮警示灯。</w:t>
      </w:r>
      <w:r>
        <w:rPr>
          <w:rFonts w:hint="eastAsia" w:ascii="Times New Roman" w:hAnsi="Times New Roman" w:eastAsia="仿宋_GB2312" w:cs="仿宋_GB2312"/>
          <w:snapToGrid w:val="0"/>
          <w:kern w:val="0"/>
          <w:sz w:val="32"/>
          <w:szCs w:val="32"/>
          <w:lang w:val="en-US" w:eastAsia="zh-CN" w:bidi="ar-SA"/>
        </w:rPr>
        <w:t>在施工区域</w:t>
      </w:r>
      <w:r>
        <w:rPr>
          <w:rFonts w:hint="eastAsia" w:cs="仿宋_GB2312"/>
          <w:snapToGrid w:val="0"/>
          <w:kern w:val="0"/>
          <w:sz w:val="32"/>
          <w:szCs w:val="32"/>
          <w:lang w:val="en-US" w:eastAsia="zh-CN" w:bidi="ar-SA"/>
        </w:rPr>
        <w:t>围挡</w:t>
      </w:r>
      <w:r>
        <w:rPr>
          <w:rFonts w:hint="eastAsia" w:ascii="Times New Roman" w:hAnsi="Times New Roman" w:eastAsia="仿宋_GB2312" w:cs="仿宋_GB2312"/>
          <w:snapToGrid w:val="0"/>
          <w:kern w:val="0"/>
          <w:sz w:val="32"/>
          <w:szCs w:val="32"/>
          <w:lang w:val="en-US" w:eastAsia="zh-CN" w:bidi="ar-SA"/>
        </w:rPr>
        <w:t>两端面向通行方向醒目位置各设一块施工</w:t>
      </w:r>
      <w:r>
        <w:rPr>
          <w:rFonts w:hint="eastAsia" w:cs="仿宋_GB2312"/>
          <w:snapToGrid w:val="0"/>
          <w:kern w:val="0"/>
          <w:sz w:val="32"/>
          <w:szCs w:val="32"/>
          <w:lang w:val="en-US" w:eastAsia="zh-CN" w:bidi="ar-SA"/>
        </w:rPr>
        <w:t>公示</w:t>
      </w:r>
      <w:r>
        <w:rPr>
          <w:rFonts w:hint="eastAsia" w:ascii="Times New Roman" w:hAnsi="Times New Roman" w:eastAsia="仿宋_GB2312" w:cs="仿宋_GB2312"/>
          <w:snapToGrid w:val="0"/>
          <w:kern w:val="0"/>
          <w:sz w:val="32"/>
          <w:szCs w:val="32"/>
          <w:lang w:val="en-US" w:eastAsia="zh-CN" w:bidi="ar-SA"/>
        </w:rPr>
        <w:t>牌，施工长度＞200m时，每隔100m在醒目位置增设一块</w:t>
      </w:r>
      <w:r>
        <w:rPr>
          <w:rFonts w:hint="eastAsia" w:cs="仿宋_GB2312"/>
          <w:snapToGrid w:val="0"/>
          <w:kern w:val="0"/>
          <w:sz w:val="32"/>
          <w:szCs w:val="32"/>
          <w:lang w:val="en-US" w:eastAsia="zh-CN" w:bidi="ar-SA"/>
        </w:rPr>
        <w:t>，公示牌</w:t>
      </w:r>
      <w:r>
        <w:rPr>
          <w:rFonts w:hint="eastAsia" w:ascii="Times New Roman" w:hAnsi="Times New Roman" w:eastAsia="仿宋_GB2312" w:cs="仿宋_GB2312"/>
          <w:snapToGrid w:val="0"/>
          <w:kern w:val="0"/>
          <w:sz w:val="32"/>
          <w:szCs w:val="32"/>
          <w:lang w:val="en-US" w:eastAsia="zh-CN" w:bidi="ar-SA"/>
        </w:rPr>
        <w:t>尺寸（宽*高）≥1.0m*1.6m</w:t>
      </w:r>
      <w:r>
        <w:rPr>
          <w:rFonts w:hint="eastAsia" w:cs="仿宋_GB2312"/>
          <w:snapToGrid w:val="0"/>
          <w:kern w:val="0"/>
          <w:sz w:val="32"/>
          <w:szCs w:val="32"/>
          <w:lang w:val="en-US" w:eastAsia="zh-CN" w:bidi="ar-SA"/>
        </w:rPr>
        <w:t>，公示牌内容应包含项目名称、施工区域、施工时间、建设单位名称、施工单位名称、监理单位名称、项目负责人姓名、投诉电话（建设单位、施工单位、城管执法部门投诉电话）等信息，</w:t>
      </w:r>
      <w:r>
        <w:rPr>
          <w:rFonts w:hint="eastAsia" w:ascii="Times New Roman" w:hAnsi="Times New Roman" w:eastAsia="仿宋_GB2312" w:cs="仿宋_GB2312"/>
          <w:snapToGrid w:val="0"/>
          <w:kern w:val="0"/>
          <w:sz w:val="32"/>
          <w:szCs w:val="32"/>
          <w:lang w:val="en-US" w:eastAsia="zh-CN" w:bidi="ar-SA"/>
        </w:rPr>
        <w:t>内容清晰、字迹工整，保持完好。</w:t>
      </w:r>
    </w:p>
    <w:p w14:paraId="2272358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三十九</w:t>
      </w:r>
      <w:r>
        <w:rPr>
          <w:rFonts w:hint="default"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占道施工工地围挡实行“即围即建、建成即拆”，不得“围而不建、建成不拆”</w:t>
      </w:r>
      <w:r>
        <w:rPr>
          <w:rFonts w:hint="eastAsia" w:cs="仿宋_GB2312"/>
          <w:snapToGrid w:val="0"/>
          <w:kern w:val="0"/>
          <w:sz w:val="32"/>
          <w:szCs w:val="32"/>
          <w:lang w:val="en-US" w:eastAsia="zh-CN" w:bidi="ar-SA"/>
        </w:rPr>
        <w:t>，并遵守以下规定：</w:t>
      </w:r>
    </w:p>
    <w:p w14:paraId="2D5B47E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（一）经批准</w:t>
      </w:r>
      <w:r>
        <w:rPr>
          <w:rFonts w:hint="eastAsia" w:cs="仿宋_GB2312"/>
          <w:snapToGrid w:val="0"/>
          <w:kern w:val="0"/>
          <w:sz w:val="32"/>
          <w:szCs w:val="32"/>
          <w:lang w:val="en-US" w:eastAsia="zh-CN" w:bidi="ar-SA"/>
        </w:rPr>
        <w:t>占用城市道路</w:t>
      </w:r>
      <w:r>
        <w:rPr>
          <w:rFonts w:hint="default" w:ascii="Times New Roman" w:hAnsi="Times New Roman" w:eastAsia="仿宋_GB2312" w:cs="仿宋_GB2312"/>
          <w:snapToGrid w:val="0"/>
          <w:kern w:val="0"/>
          <w:sz w:val="32"/>
          <w:szCs w:val="32"/>
          <w:lang w:val="en-US" w:eastAsia="zh-CN" w:bidi="ar-SA"/>
        </w:rPr>
        <w:t>挖掘施工的，应当按照批准的用途、位置、面积、期限进行施工</w:t>
      </w:r>
      <w:r>
        <w:rPr>
          <w:rFonts w:hint="eastAsia" w:cs="仿宋_GB2312"/>
          <w:snapToGrid w:val="0"/>
          <w:kern w:val="0"/>
          <w:sz w:val="32"/>
          <w:szCs w:val="32"/>
          <w:lang w:val="en-US" w:eastAsia="zh-CN" w:bidi="ar-SA"/>
        </w:rPr>
        <w:t>，</w:t>
      </w:r>
      <w:r>
        <w:rPr>
          <w:rFonts w:hint="default" w:ascii="Times New Roman" w:hAnsi="Times New Roman" w:eastAsia="仿宋_GB2312" w:cs="仿宋_GB2312"/>
          <w:snapToGrid w:val="0"/>
          <w:kern w:val="0"/>
          <w:sz w:val="32"/>
          <w:szCs w:val="32"/>
          <w:lang w:val="en-US" w:eastAsia="zh-CN" w:bidi="ar-SA"/>
        </w:rPr>
        <w:t>需要移动位置、扩大面积、延长时间的，应当提前办理手续</w:t>
      </w:r>
      <w:r>
        <w:rPr>
          <w:rFonts w:hint="eastAsia" w:cs="仿宋_GB2312"/>
          <w:snapToGrid w:val="0"/>
          <w:kern w:val="0"/>
          <w:sz w:val="32"/>
          <w:szCs w:val="32"/>
          <w:lang w:val="en-US" w:eastAsia="zh-CN" w:bidi="ar-SA"/>
        </w:rPr>
        <w:t>；</w:t>
      </w:r>
    </w:p>
    <w:p w14:paraId="6171033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（二）施工单位应当切实做好准备工作，在施工期间，不得因施工人员、机械、材料准备不足等停工</w:t>
      </w:r>
      <w:r>
        <w:rPr>
          <w:rFonts w:hint="eastAsia" w:cs="仿宋_GB2312"/>
          <w:snapToGrid w:val="0"/>
          <w:kern w:val="0"/>
          <w:sz w:val="32"/>
          <w:szCs w:val="32"/>
          <w:lang w:val="en-US" w:eastAsia="zh-CN" w:bidi="ar-SA"/>
        </w:rPr>
        <w:t>；</w:t>
      </w:r>
    </w:p>
    <w:p w14:paraId="66B878F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snapToGrid w:val="0"/>
          <w:kern w:val="0"/>
          <w:sz w:val="32"/>
          <w:szCs w:val="32"/>
          <w:lang w:val="en-US" w:eastAsia="zh-CN" w:bidi="ar-SA"/>
        </w:rPr>
        <w:t>（三）施工单位应当采取动态管理方式，根据工程进展情况，适时缩小围挡面积。</w:t>
      </w:r>
    </w:p>
    <w:p w14:paraId="6C2CF70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四十条</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占用挖掘</w:t>
      </w:r>
      <w:r>
        <w:rPr>
          <w:rFonts w:hint="eastAsia" w:ascii="Times New Roman" w:hAnsi="Times New Roman" w:eastAsia="仿宋_GB2312" w:cs="仿宋_GB2312"/>
          <w:snapToGrid w:val="0"/>
          <w:kern w:val="0"/>
          <w:sz w:val="32"/>
          <w:szCs w:val="32"/>
          <w:lang w:val="en-US" w:eastAsia="zh-CN" w:bidi="ar-SA"/>
        </w:rPr>
        <w:t>城市</w:t>
      </w:r>
      <w:r>
        <w:rPr>
          <w:rFonts w:hint="default" w:ascii="Times New Roman" w:hAnsi="Times New Roman" w:eastAsia="仿宋_GB2312" w:cs="仿宋_GB2312"/>
          <w:snapToGrid w:val="0"/>
          <w:kern w:val="0"/>
          <w:sz w:val="32"/>
          <w:szCs w:val="32"/>
          <w:lang w:val="en-US" w:eastAsia="zh-CN" w:bidi="ar-SA"/>
        </w:rPr>
        <w:t>道路施工</w:t>
      </w:r>
      <w:r>
        <w:rPr>
          <w:rFonts w:hint="eastAsia" w:cs="仿宋_GB2312"/>
          <w:snapToGrid w:val="0"/>
          <w:kern w:val="0"/>
          <w:sz w:val="32"/>
          <w:szCs w:val="32"/>
          <w:lang w:val="en-US" w:eastAsia="zh-CN" w:bidi="ar-SA"/>
        </w:rPr>
        <w:t>路口</w:t>
      </w:r>
      <w:r>
        <w:rPr>
          <w:rFonts w:hint="default" w:ascii="Times New Roman" w:hAnsi="Times New Roman" w:eastAsia="仿宋_GB2312" w:cs="仿宋_GB2312"/>
          <w:snapToGrid w:val="0"/>
          <w:kern w:val="0"/>
          <w:sz w:val="32"/>
          <w:szCs w:val="32"/>
          <w:lang w:val="en-US" w:eastAsia="zh-CN" w:bidi="ar-SA"/>
        </w:rPr>
        <w:t>围挡迎车方向或者转角要采取切角或者镂空围挡等适宜方式，提高交通视距。</w:t>
      </w:r>
    </w:p>
    <w:p w14:paraId="5F22F1B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四十一</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施工占道面积缩小或者占用期满的，施工单位应当将施工期间设置的地脚螺丝等障碍物、施工作业产生的物料、垃圾等彻底清除干净，保障人车出行安全。</w:t>
      </w:r>
    </w:p>
    <w:p w14:paraId="7562C5B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四十</w:t>
      </w:r>
      <w:r>
        <w:rPr>
          <w:rFonts w:hint="eastAsia" w:cs="仿宋_GB2312"/>
          <w:b/>
          <w:bCs/>
          <w:snapToGrid w:val="0"/>
          <w:kern w:val="0"/>
          <w:sz w:val="32"/>
          <w:szCs w:val="32"/>
          <w:lang w:val="en-US" w:eastAsia="zh-CN" w:bidi="ar-SA"/>
        </w:rPr>
        <w:t>二</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占用城市道路设置临时停车泊位，应当经公安交通管理部门、</w:t>
      </w:r>
      <w:r>
        <w:rPr>
          <w:rFonts w:hint="eastAsia" w:ascii="Times New Roman" w:hAnsi="Times New Roman" w:eastAsia="仿宋_GB2312" w:cs="仿宋_GB2312"/>
          <w:snapToGrid w:val="0"/>
          <w:kern w:val="0"/>
          <w:sz w:val="32"/>
          <w:szCs w:val="32"/>
          <w:lang w:val="en-US" w:eastAsia="zh-CN" w:bidi="ar-SA"/>
        </w:rPr>
        <w:t>城市管理</w:t>
      </w:r>
      <w:r>
        <w:rPr>
          <w:rFonts w:hint="default" w:ascii="Times New Roman" w:hAnsi="Times New Roman" w:eastAsia="仿宋_GB2312" w:cs="仿宋_GB2312"/>
          <w:snapToGrid w:val="0"/>
          <w:kern w:val="0"/>
          <w:sz w:val="32"/>
          <w:szCs w:val="32"/>
          <w:lang w:val="en-US" w:eastAsia="zh-CN" w:bidi="ar-SA"/>
        </w:rPr>
        <w:t>部门同意。设置临时占道停车位，应当符合无障碍标准，不得影响城市道路交通安全。</w:t>
      </w:r>
    </w:p>
    <w:p w14:paraId="1E7F185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ascii="Times New Roman" w:hAnsi="Times New Roman" w:eastAsia="仿宋_GB2312" w:cs="仿宋_GB2312"/>
          <w:b/>
          <w:bCs/>
          <w:snapToGrid w:val="0"/>
          <w:kern w:val="0"/>
          <w:sz w:val="32"/>
          <w:szCs w:val="32"/>
          <w:lang w:val="en-US" w:eastAsia="zh-CN" w:bidi="ar-SA"/>
        </w:rPr>
        <w:t>四十</w:t>
      </w:r>
      <w:r>
        <w:rPr>
          <w:rFonts w:hint="eastAsia" w:cs="仿宋_GB2312"/>
          <w:b/>
          <w:bCs/>
          <w:snapToGrid w:val="0"/>
          <w:kern w:val="0"/>
          <w:sz w:val="32"/>
          <w:szCs w:val="32"/>
          <w:lang w:val="en-US" w:eastAsia="zh-CN" w:bidi="ar-SA"/>
        </w:rPr>
        <w:t>三</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占用城市道路设置非机动车停车位（含公共自行车）、交通岗亭、垃圾桶、邮箱、各类杆、桩、柱、球等公益类设施，应当</w:t>
      </w:r>
      <w:r>
        <w:rPr>
          <w:rFonts w:hint="eastAsia" w:ascii="Times New Roman" w:hAnsi="Times New Roman" w:eastAsia="仿宋_GB2312" w:cs="仿宋_GB2312"/>
          <w:snapToGrid w:val="0"/>
          <w:kern w:val="0"/>
          <w:sz w:val="32"/>
          <w:szCs w:val="32"/>
          <w:lang w:val="en-US" w:eastAsia="zh-CN" w:bidi="ar-SA"/>
        </w:rPr>
        <w:t>经城市管理</w:t>
      </w:r>
      <w:r>
        <w:rPr>
          <w:rFonts w:hint="default" w:ascii="Times New Roman" w:hAnsi="Times New Roman" w:eastAsia="仿宋_GB2312" w:cs="仿宋_GB2312"/>
          <w:snapToGrid w:val="0"/>
          <w:kern w:val="0"/>
          <w:sz w:val="32"/>
          <w:szCs w:val="32"/>
          <w:lang w:val="en-US" w:eastAsia="zh-CN" w:bidi="ar-SA"/>
        </w:rPr>
        <w:t>部门批准，同时做好备案工作；对于未经批准的占用设施，</w:t>
      </w:r>
      <w:r>
        <w:rPr>
          <w:rFonts w:hint="eastAsia" w:ascii="Times New Roman" w:hAnsi="Times New Roman" w:eastAsia="仿宋_GB2312" w:cs="仿宋_GB2312"/>
          <w:snapToGrid w:val="0"/>
          <w:kern w:val="0"/>
          <w:sz w:val="32"/>
          <w:szCs w:val="32"/>
          <w:lang w:val="en-US" w:eastAsia="zh-CN" w:bidi="ar-SA"/>
        </w:rPr>
        <w:t>城市管理</w:t>
      </w:r>
      <w:r>
        <w:rPr>
          <w:rFonts w:hint="default" w:ascii="Times New Roman" w:hAnsi="Times New Roman" w:eastAsia="仿宋_GB2312" w:cs="仿宋_GB2312"/>
          <w:snapToGrid w:val="0"/>
          <w:kern w:val="0"/>
          <w:sz w:val="32"/>
          <w:szCs w:val="32"/>
          <w:lang w:val="en-US" w:eastAsia="zh-CN" w:bidi="ar-SA"/>
        </w:rPr>
        <w:t>部门有权将线索移交有关部门进行</w:t>
      </w:r>
      <w:r>
        <w:rPr>
          <w:rFonts w:hint="eastAsia" w:cs="仿宋_GB2312"/>
          <w:snapToGrid w:val="0"/>
          <w:kern w:val="0"/>
          <w:sz w:val="32"/>
          <w:szCs w:val="32"/>
          <w:lang w:val="en-US" w:eastAsia="zh-CN" w:bidi="ar-SA"/>
        </w:rPr>
        <w:t>依法</w:t>
      </w:r>
      <w:r>
        <w:rPr>
          <w:rFonts w:hint="default" w:ascii="Times New Roman" w:hAnsi="Times New Roman" w:eastAsia="仿宋_GB2312" w:cs="仿宋_GB2312"/>
          <w:snapToGrid w:val="0"/>
          <w:kern w:val="0"/>
          <w:sz w:val="32"/>
          <w:szCs w:val="32"/>
          <w:lang w:val="en-US" w:eastAsia="zh-CN" w:bidi="ar-SA"/>
        </w:rPr>
        <w:t>处理。</w:t>
      </w:r>
    </w:p>
    <w:p w14:paraId="5A8ABD08">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第四十</w:t>
      </w:r>
      <w:r>
        <w:rPr>
          <w:rFonts w:hint="eastAsia" w:cs="仿宋_GB2312"/>
          <w:b/>
          <w:bCs/>
          <w:snapToGrid w:val="0"/>
          <w:kern w:val="0"/>
          <w:sz w:val="32"/>
          <w:szCs w:val="32"/>
          <w:lang w:val="en-US" w:eastAsia="zh-CN" w:bidi="ar-SA"/>
        </w:rPr>
        <w:t>四</w:t>
      </w:r>
      <w:r>
        <w:rPr>
          <w:rFonts w:hint="eastAsia" w:ascii="Times New Roman" w:hAnsi="Times New Roman" w:eastAsia="仿宋_GB2312" w:cs="仿宋_GB2312"/>
          <w:b/>
          <w:bCs/>
          <w:snapToGrid w:val="0"/>
          <w:kern w:val="0"/>
          <w:sz w:val="32"/>
          <w:szCs w:val="32"/>
          <w:lang w:val="en-US" w:eastAsia="zh-CN" w:bidi="ar-SA"/>
        </w:rPr>
        <w:t xml:space="preserve">条  </w:t>
      </w:r>
      <w:r>
        <w:rPr>
          <w:rFonts w:hint="default" w:ascii="Times New Roman" w:hAnsi="Times New Roman" w:eastAsia="仿宋_GB2312" w:cs="仿宋_GB2312"/>
          <w:snapToGrid w:val="0"/>
          <w:kern w:val="0"/>
          <w:sz w:val="32"/>
          <w:szCs w:val="32"/>
          <w:lang w:val="en-US" w:eastAsia="zh-CN" w:bidi="ar-SA"/>
        </w:rPr>
        <w:t>占用城市道路设置的各类公益设施，设置单位应当承担公益设施的维修维护责任和公益设施需要拆除时的道路设施的恢复责任。</w:t>
      </w:r>
    </w:p>
    <w:p w14:paraId="0836FA8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第四十</w:t>
      </w:r>
      <w:r>
        <w:rPr>
          <w:rFonts w:hint="eastAsia" w:cs="仿宋_GB2312"/>
          <w:b/>
          <w:bCs/>
          <w:snapToGrid w:val="0"/>
          <w:kern w:val="0"/>
          <w:sz w:val="32"/>
          <w:szCs w:val="32"/>
          <w:lang w:val="en-US" w:eastAsia="zh-CN" w:bidi="ar-SA"/>
        </w:rPr>
        <w:t>五</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因特殊情况，挖掘施工停滞超过7日的，申请</w:t>
      </w:r>
      <w:r>
        <w:rPr>
          <w:rFonts w:hint="eastAsia" w:ascii="Times New Roman" w:hAnsi="Times New Roman" w:eastAsia="仿宋_GB2312" w:cs="仿宋_GB2312"/>
          <w:snapToGrid w:val="0"/>
          <w:kern w:val="0"/>
          <w:sz w:val="32"/>
          <w:szCs w:val="32"/>
          <w:lang w:val="en-US" w:eastAsia="zh-CN" w:bidi="ar-SA"/>
        </w:rPr>
        <w:t>单位</w:t>
      </w:r>
      <w:r>
        <w:rPr>
          <w:rFonts w:hint="default" w:ascii="Times New Roman" w:hAnsi="Times New Roman" w:eastAsia="仿宋_GB2312" w:cs="仿宋_GB2312"/>
          <w:snapToGrid w:val="0"/>
          <w:kern w:val="0"/>
          <w:sz w:val="32"/>
          <w:szCs w:val="32"/>
          <w:lang w:val="en-US" w:eastAsia="zh-CN" w:bidi="ar-SA"/>
        </w:rPr>
        <w:t>应当采取道路路面简易恢复措施，保障交通安全，落实防尘措施，并承担简易恢复路面的工程费用。</w:t>
      </w:r>
    </w:p>
    <w:p w14:paraId="1C427DD9">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default" w:ascii="Times New Roman" w:hAnsi="Times New Roman" w:eastAsia="黑体" w:cs="黑体"/>
          <w:b w:val="0"/>
          <w:bCs w:val="0"/>
          <w:snapToGrid w:val="0"/>
          <w:kern w:val="0"/>
          <w:sz w:val="32"/>
          <w:szCs w:val="32"/>
          <w:lang w:val="en-US" w:eastAsia="zh-CN" w:bidi="ar-SA"/>
        </w:rPr>
      </w:pPr>
    </w:p>
    <w:p w14:paraId="3BFCA42F">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default" w:ascii="Times New Roman" w:hAnsi="Times New Roman" w:eastAsia="黑体" w:cs="黑体"/>
          <w:b w:val="0"/>
          <w:bCs w:val="0"/>
          <w:snapToGrid w:val="0"/>
          <w:kern w:val="0"/>
          <w:sz w:val="32"/>
          <w:szCs w:val="32"/>
          <w:lang w:val="en-US" w:eastAsia="zh-CN" w:bidi="ar-SA"/>
        </w:rPr>
      </w:pPr>
      <w:r>
        <w:rPr>
          <w:rFonts w:hint="default" w:ascii="Times New Roman" w:hAnsi="Times New Roman" w:eastAsia="黑体" w:cs="黑体"/>
          <w:b w:val="0"/>
          <w:bCs w:val="0"/>
          <w:snapToGrid w:val="0"/>
          <w:kern w:val="0"/>
          <w:sz w:val="32"/>
          <w:szCs w:val="32"/>
          <w:lang w:val="en-US" w:eastAsia="zh-CN" w:bidi="ar-SA"/>
        </w:rPr>
        <w:t>第</w:t>
      </w:r>
      <w:r>
        <w:rPr>
          <w:rFonts w:hint="eastAsia" w:eastAsia="黑体" w:cs="黑体"/>
          <w:b w:val="0"/>
          <w:bCs w:val="0"/>
          <w:snapToGrid w:val="0"/>
          <w:kern w:val="0"/>
          <w:sz w:val="32"/>
          <w:szCs w:val="32"/>
          <w:lang w:val="en-US" w:eastAsia="zh-CN" w:bidi="ar-SA"/>
        </w:rPr>
        <w:t>六</w:t>
      </w:r>
      <w:r>
        <w:rPr>
          <w:rFonts w:hint="default" w:ascii="Times New Roman" w:hAnsi="Times New Roman" w:eastAsia="黑体" w:cs="黑体"/>
          <w:b w:val="0"/>
          <w:bCs w:val="0"/>
          <w:snapToGrid w:val="0"/>
          <w:kern w:val="0"/>
          <w:sz w:val="32"/>
          <w:szCs w:val="32"/>
          <w:lang w:val="en-US" w:eastAsia="zh-CN" w:bidi="ar-SA"/>
        </w:rPr>
        <w:t>章  </w:t>
      </w:r>
      <w:r>
        <w:rPr>
          <w:rFonts w:hint="eastAsia" w:eastAsia="黑体" w:cs="黑体"/>
          <w:b w:val="0"/>
          <w:bCs w:val="0"/>
          <w:snapToGrid w:val="0"/>
          <w:kern w:val="0"/>
          <w:sz w:val="32"/>
          <w:szCs w:val="32"/>
          <w:lang w:val="en-US" w:eastAsia="zh-CN" w:bidi="ar-SA"/>
        </w:rPr>
        <w:t>占用</w:t>
      </w:r>
      <w:r>
        <w:rPr>
          <w:rFonts w:hint="default" w:ascii="Times New Roman" w:hAnsi="Times New Roman" w:eastAsia="黑体" w:cs="黑体"/>
          <w:b w:val="0"/>
          <w:bCs w:val="0"/>
          <w:snapToGrid w:val="0"/>
          <w:kern w:val="0"/>
          <w:sz w:val="32"/>
          <w:szCs w:val="32"/>
          <w:lang w:val="en-US" w:eastAsia="zh-CN" w:bidi="ar-SA"/>
        </w:rPr>
        <w:t>挖掘</w:t>
      </w:r>
      <w:r>
        <w:rPr>
          <w:rFonts w:hint="eastAsia" w:eastAsia="黑体" w:cs="黑体"/>
          <w:b w:val="0"/>
          <w:bCs w:val="0"/>
          <w:snapToGrid w:val="0"/>
          <w:kern w:val="0"/>
          <w:sz w:val="32"/>
          <w:szCs w:val="32"/>
          <w:lang w:val="en-US" w:eastAsia="zh-CN" w:bidi="ar-SA"/>
        </w:rPr>
        <w:t>绿地</w:t>
      </w:r>
      <w:r>
        <w:rPr>
          <w:rFonts w:hint="default" w:ascii="Times New Roman" w:hAnsi="Times New Roman" w:eastAsia="黑体" w:cs="黑体"/>
          <w:b w:val="0"/>
          <w:bCs w:val="0"/>
          <w:snapToGrid w:val="0"/>
          <w:kern w:val="0"/>
          <w:sz w:val="32"/>
          <w:szCs w:val="32"/>
          <w:lang w:val="en-US" w:eastAsia="zh-CN" w:bidi="ar-SA"/>
        </w:rPr>
        <w:t>管理</w:t>
      </w:r>
    </w:p>
    <w:p w14:paraId="228CED8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bCs/>
          <w:snapToGrid w:val="0"/>
          <w:kern w:val="0"/>
          <w:sz w:val="32"/>
          <w:szCs w:val="32"/>
          <w:lang w:val="en-US" w:eastAsia="zh-CN" w:bidi="ar-SA"/>
        </w:rPr>
        <w:t>第</w:t>
      </w:r>
      <w:r>
        <w:rPr>
          <w:rFonts w:hint="eastAsia" w:ascii="仿宋_GB2312" w:hAnsi="仿宋_GB2312" w:cs="仿宋_GB2312"/>
          <w:b/>
          <w:bCs/>
          <w:snapToGrid w:val="0"/>
          <w:kern w:val="0"/>
          <w:sz w:val="32"/>
          <w:szCs w:val="32"/>
          <w:lang w:val="en-US" w:eastAsia="zh-CN" w:bidi="ar-SA"/>
        </w:rPr>
        <w:t>四十六</w:t>
      </w:r>
      <w:r>
        <w:rPr>
          <w:rFonts w:hint="eastAsia" w:ascii="仿宋_GB2312" w:hAnsi="仿宋_GB2312"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临时占用绿地施工前，申请人需联系城市绿化行政主管部门及绿化养护企业共同现场勘察，明确地下管线深度、走向等注意事项，涉及苗木移栽补植的，按苗木造价与养护单位签订移栽补植协议。</w:t>
      </w:r>
    </w:p>
    <w:p w14:paraId="7DDBCC5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bCs/>
          <w:snapToGrid w:val="0"/>
          <w:kern w:val="0"/>
          <w:sz w:val="32"/>
          <w:szCs w:val="32"/>
          <w:lang w:val="en-US" w:eastAsia="zh-CN" w:bidi="ar-SA"/>
        </w:rPr>
        <w:t>第</w:t>
      </w:r>
      <w:r>
        <w:rPr>
          <w:rFonts w:hint="eastAsia" w:ascii="仿宋_GB2312" w:hAnsi="仿宋_GB2312" w:cs="仿宋_GB2312"/>
          <w:b/>
          <w:bCs/>
          <w:snapToGrid w:val="0"/>
          <w:kern w:val="0"/>
          <w:sz w:val="32"/>
          <w:szCs w:val="32"/>
          <w:lang w:val="en-US" w:eastAsia="zh-CN" w:bidi="ar-SA"/>
        </w:rPr>
        <w:t>四十七</w:t>
      </w:r>
      <w:r>
        <w:rPr>
          <w:rFonts w:hint="eastAsia" w:ascii="仿宋_GB2312" w:hAnsi="仿宋_GB2312"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申请人需严格按许可规定的范围、用途、期限施工，不得超出批准范围占用绿地，不得擅自改变占用用途；施工期间需指定专人负责绿地保护，配合相关部门监督检查。</w:t>
      </w:r>
    </w:p>
    <w:p w14:paraId="3A98571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bCs/>
          <w:snapToGrid w:val="0"/>
          <w:kern w:val="0"/>
          <w:sz w:val="32"/>
          <w:szCs w:val="32"/>
          <w:lang w:val="en-US" w:eastAsia="zh-CN" w:bidi="ar-SA"/>
        </w:rPr>
        <w:t>第</w:t>
      </w:r>
      <w:r>
        <w:rPr>
          <w:rFonts w:hint="eastAsia" w:ascii="仿宋_GB2312" w:hAnsi="仿宋_GB2312" w:cs="仿宋_GB2312"/>
          <w:b/>
          <w:bCs/>
          <w:snapToGrid w:val="0"/>
          <w:kern w:val="0"/>
          <w:sz w:val="32"/>
          <w:szCs w:val="32"/>
          <w:lang w:val="en-US" w:eastAsia="zh-CN" w:bidi="ar-SA"/>
        </w:rPr>
        <w:t>四十八</w:t>
      </w:r>
      <w:r>
        <w:rPr>
          <w:rFonts w:hint="eastAsia" w:ascii="仿宋_GB2312" w:hAnsi="仿宋_GB2312"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施工现场管理需符合以下要求：</w:t>
      </w:r>
    </w:p>
    <w:p w14:paraId="3611D21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eastAsia" w:cs="仿宋_GB2312"/>
          <w:snapToGrid w:val="0"/>
          <w:kern w:val="0"/>
          <w:sz w:val="32"/>
          <w:szCs w:val="32"/>
          <w:lang w:val="en-US" w:eastAsia="zh-CN" w:bidi="ar-SA"/>
        </w:rPr>
        <w:t>（一）</w:t>
      </w:r>
      <w:r>
        <w:rPr>
          <w:rFonts w:hint="default" w:ascii="Times New Roman" w:hAnsi="Times New Roman" w:eastAsia="仿宋_GB2312" w:cs="仿宋_GB2312"/>
          <w:snapToGrid w:val="0"/>
          <w:kern w:val="0"/>
          <w:sz w:val="32"/>
          <w:szCs w:val="32"/>
          <w:lang w:val="en-US" w:eastAsia="zh-CN" w:bidi="ar-SA"/>
        </w:rPr>
        <w:t>占用挖掘城市</w:t>
      </w:r>
      <w:r>
        <w:rPr>
          <w:rFonts w:hint="eastAsia" w:cs="仿宋_GB2312"/>
          <w:snapToGrid w:val="0"/>
          <w:kern w:val="0"/>
          <w:sz w:val="32"/>
          <w:szCs w:val="32"/>
          <w:lang w:val="en-US" w:eastAsia="zh-CN" w:bidi="ar-SA"/>
        </w:rPr>
        <w:t>绿地</w:t>
      </w:r>
      <w:r>
        <w:rPr>
          <w:rFonts w:hint="default" w:ascii="Times New Roman" w:hAnsi="Times New Roman" w:eastAsia="仿宋_GB2312" w:cs="仿宋_GB2312"/>
          <w:snapToGrid w:val="0"/>
          <w:kern w:val="0"/>
          <w:sz w:val="32"/>
          <w:szCs w:val="32"/>
          <w:lang w:val="en-US" w:eastAsia="zh-CN" w:bidi="ar-SA"/>
        </w:rPr>
        <w:t>在工程实施前以及施工现场应当按照</w:t>
      </w:r>
      <w:r>
        <w:rPr>
          <w:rFonts w:hint="eastAsia" w:cs="仿宋_GB2312"/>
          <w:snapToGrid w:val="0"/>
          <w:kern w:val="0"/>
          <w:sz w:val="32"/>
          <w:szCs w:val="32"/>
          <w:lang w:val="en-US" w:eastAsia="zh-CN" w:bidi="ar-SA"/>
        </w:rPr>
        <w:t>规定</w:t>
      </w:r>
      <w:r>
        <w:rPr>
          <w:rFonts w:hint="default" w:ascii="Times New Roman" w:hAnsi="Times New Roman" w:eastAsia="仿宋_GB2312" w:cs="仿宋_GB2312"/>
          <w:snapToGrid w:val="0"/>
          <w:kern w:val="0"/>
          <w:sz w:val="32"/>
          <w:szCs w:val="32"/>
          <w:lang w:val="en-US" w:eastAsia="zh-CN" w:bidi="ar-SA"/>
        </w:rPr>
        <w:t>设置安全警示标志和防护设施，</w:t>
      </w:r>
      <w:r>
        <w:rPr>
          <w:rFonts w:hint="eastAsia" w:cs="仿宋_GB2312"/>
          <w:snapToGrid w:val="0"/>
          <w:kern w:val="0"/>
          <w:sz w:val="32"/>
          <w:szCs w:val="32"/>
          <w:lang w:val="en-US" w:eastAsia="zh-CN" w:bidi="ar-SA"/>
        </w:rPr>
        <w:t>并安装</w:t>
      </w:r>
      <w:r>
        <w:rPr>
          <w:rFonts w:hint="default" w:ascii="Times New Roman" w:hAnsi="Times New Roman" w:eastAsia="仿宋_GB2312" w:cs="仿宋_GB2312"/>
          <w:snapToGrid w:val="0"/>
          <w:kern w:val="0"/>
          <w:sz w:val="32"/>
          <w:szCs w:val="32"/>
          <w:lang w:val="en-US" w:eastAsia="zh-CN" w:bidi="ar-SA"/>
        </w:rPr>
        <w:t>1.8m以上硬质围挡，夜间亮警示灯</w:t>
      </w:r>
      <w:r>
        <w:rPr>
          <w:rFonts w:hint="eastAsia" w:ascii="仿宋_GB2312" w:hAnsi="仿宋_GB2312" w:eastAsia="仿宋_GB2312" w:cs="仿宋_GB2312"/>
          <w:b w:val="0"/>
          <w:bCs w:val="0"/>
          <w:snapToGrid w:val="0"/>
          <w:kern w:val="0"/>
          <w:sz w:val="32"/>
          <w:szCs w:val="32"/>
          <w:lang w:val="en-US" w:eastAsia="zh-CN" w:bidi="ar-SA"/>
        </w:rPr>
        <w:t>，围挡实行“即围即建、建成即拆”，严禁“围而不建、建成不拆”；</w:t>
      </w:r>
    </w:p>
    <w:p w14:paraId="001612D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（二）</w:t>
      </w:r>
      <w:r>
        <w:rPr>
          <w:rFonts w:hint="eastAsia" w:ascii="Times New Roman" w:hAnsi="Times New Roman" w:eastAsia="仿宋_GB2312" w:cs="仿宋_GB2312"/>
          <w:snapToGrid w:val="0"/>
          <w:kern w:val="0"/>
          <w:sz w:val="32"/>
          <w:szCs w:val="32"/>
          <w:lang w:val="en-US" w:eastAsia="zh-CN" w:bidi="ar-SA"/>
        </w:rPr>
        <w:t>在围挡醒目处（主出入口两侧）悬挂公示牌，公示内容包括</w:t>
      </w:r>
      <w:r>
        <w:rPr>
          <w:rFonts w:hint="eastAsia" w:cs="仿宋_GB2312"/>
          <w:snapToGrid w:val="0"/>
          <w:kern w:val="0"/>
          <w:sz w:val="32"/>
          <w:szCs w:val="32"/>
          <w:lang w:val="en-US" w:eastAsia="zh-CN" w:bidi="ar-SA"/>
        </w:rPr>
        <w:t>：</w:t>
      </w:r>
      <w:r>
        <w:rPr>
          <w:rFonts w:hint="eastAsia" w:ascii="Times New Roman" w:hAnsi="Times New Roman" w:eastAsia="仿宋_GB2312" w:cs="仿宋_GB2312"/>
          <w:snapToGrid w:val="0"/>
          <w:kern w:val="0"/>
          <w:sz w:val="32"/>
          <w:szCs w:val="32"/>
          <w:lang w:val="en-US" w:eastAsia="zh-CN" w:bidi="ar-SA"/>
        </w:rPr>
        <w:t>《临时占用绿地许可证》复印件、工程概况牌（项目名称、占用范围、工期、施工单位、监理单位）、安全文明施工牌、扬尘防治措施牌、绿地保护承诺书、投诉电话（绿化主管部门、城管执法部门、权属单位投诉电话）</w:t>
      </w:r>
      <w:r>
        <w:rPr>
          <w:rFonts w:hint="eastAsia" w:cs="仿宋_GB2312"/>
          <w:snapToGrid w:val="0"/>
          <w:kern w:val="0"/>
          <w:sz w:val="32"/>
          <w:szCs w:val="32"/>
          <w:lang w:val="en-US" w:eastAsia="zh-CN" w:bidi="ar-SA"/>
        </w:rPr>
        <w:t>，公示牌</w:t>
      </w:r>
      <w:r>
        <w:rPr>
          <w:rFonts w:hint="eastAsia" w:ascii="Times New Roman" w:hAnsi="Times New Roman" w:eastAsia="仿宋_GB2312" w:cs="仿宋_GB2312"/>
          <w:snapToGrid w:val="0"/>
          <w:kern w:val="0"/>
          <w:sz w:val="32"/>
          <w:szCs w:val="32"/>
          <w:lang w:val="en-US" w:eastAsia="zh-CN" w:bidi="ar-SA"/>
        </w:rPr>
        <w:t>尺寸（宽*高）≥1.0m*1.6m，内容清晰、字迹工整，保持完好</w:t>
      </w:r>
      <w:r>
        <w:rPr>
          <w:rFonts w:hint="eastAsia" w:cs="仿宋_GB2312"/>
          <w:snapToGrid w:val="0"/>
          <w:kern w:val="0"/>
          <w:sz w:val="32"/>
          <w:szCs w:val="32"/>
          <w:lang w:val="en-US" w:eastAsia="zh-CN" w:bidi="ar-SA"/>
        </w:rPr>
        <w:t>；</w:t>
      </w:r>
    </w:p>
    <w:p w14:paraId="0FC5E5F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（三）</w:t>
      </w:r>
      <w:r>
        <w:rPr>
          <w:rFonts w:hint="eastAsia" w:ascii="仿宋_GB2312" w:hAnsi="仿宋_GB2312" w:eastAsia="仿宋_GB2312" w:cs="仿宋_GB2312"/>
          <w:b w:val="0"/>
          <w:bCs w:val="0"/>
          <w:snapToGrid w:val="0"/>
          <w:kern w:val="0"/>
          <w:sz w:val="32"/>
          <w:szCs w:val="32"/>
          <w:lang w:val="en-US" w:eastAsia="zh-CN" w:bidi="ar-SA"/>
        </w:rPr>
        <w:t>施工过程中采取降尘、降噪措施，施工废水经处理后排放，严禁在绿地内挖沙取土、堆放有毒有害物料、倾倒废弃物；</w:t>
      </w:r>
    </w:p>
    <w:p w14:paraId="5F02789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（四）</w:t>
      </w:r>
      <w:r>
        <w:rPr>
          <w:rFonts w:hint="eastAsia" w:ascii="仿宋_GB2312" w:hAnsi="仿宋_GB2312" w:eastAsia="仿宋_GB2312" w:cs="仿宋_GB2312"/>
          <w:b w:val="0"/>
          <w:bCs w:val="0"/>
          <w:snapToGrid w:val="0"/>
          <w:kern w:val="0"/>
          <w:sz w:val="32"/>
          <w:szCs w:val="32"/>
          <w:lang w:val="en-US" w:eastAsia="zh-CN" w:bidi="ar-SA"/>
        </w:rPr>
        <w:t>铺设管网、电缆线、通信线等设施的，深度需符合国家标准，不低于0.8米，严格执行安全深度及质量保证措施。</w:t>
      </w:r>
    </w:p>
    <w:p w14:paraId="1AE554F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bCs/>
          <w:snapToGrid w:val="0"/>
          <w:kern w:val="0"/>
          <w:sz w:val="32"/>
          <w:szCs w:val="32"/>
          <w:lang w:val="en-US" w:eastAsia="zh-CN" w:bidi="ar-SA"/>
        </w:rPr>
        <w:t>第</w:t>
      </w:r>
      <w:r>
        <w:rPr>
          <w:rFonts w:hint="eastAsia" w:ascii="仿宋_GB2312" w:hAnsi="仿宋_GB2312" w:cs="仿宋_GB2312"/>
          <w:b/>
          <w:bCs/>
          <w:snapToGrid w:val="0"/>
          <w:kern w:val="0"/>
          <w:sz w:val="32"/>
          <w:szCs w:val="32"/>
          <w:lang w:val="en-US" w:eastAsia="zh-CN" w:bidi="ar-SA"/>
        </w:rPr>
        <w:t>四十九</w:t>
      </w:r>
      <w:r>
        <w:rPr>
          <w:rFonts w:hint="eastAsia" w:ascii="仿宋_GB2312" w:hAnsi="仿宋_GB2312"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涉及树木保护的，施工前需对占用范围内树木、花草、绿化设施登记造册，采取迁移、围挡保护等措施；树木迁移需另行办理批准手续，补植胸径不小于5厘米的同类树木，补植胸径面积之和为迁移树木的2-10倍。</w:t>
      </w:r>
    </w:p>
    <w:p w14:paraId="033B17C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bCs/>
          <w:snapToGrid w:val="0"/>
          <w:kern w:val="0"/>
          <w:sz w:val="32"/>
          <w:szCs w:val="32"/>
          <w:lang w:val="en-US" w:eastAsia="zh-CN" w:bidi="ar-SA"/>
        </w:rPr>
        <w:t>第</w:t>
      </w:r>
      <w:r>
        <w:rPr>
          <w:rFonts w:hint="eastAsia" w:ascii="仿宋_GB2312" w:hAnsi="仿宋_GB2312" w:cs="仿宋_GB2312"/>
          <w:b/>
          <w:bCs/>
          <w:snapToGrid w:val="0"/>
          <w:kern w:val="0"/>
          <w:sz w:val="32"/>
          <w:szCs w:val="32"/>
          <w:lang w:val="en-US" w:eastAsia="zh-CN" w:bidi="ar-SA"/>
        </w:rPr>
        <w:t>五十</w:t>
      </w:r>
      <w:r>
        <w:rPr>
          <w:rFonts w:hint="eastAsia" w:ascii="仿宋_GB2312" w:hAnsi="仿宋_GB2312"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临时占用绿地用于商业和经营性活动的，需严格遵守国家相关法规及新疆维吾尔自治区绿化占用管理规定，履行额外合规义务。</w:t>
      </w:r>
    </w:p>
    <w:p w14:paraId="3835F10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bCs/>
          <w:snapToGrid w:val="0"/>
          <w:kern w:val="0"/>
          <w:sz w:val="32"/>
          <w:szCs w:val="32"/>
          <w:lang w:val="en-US" w:eastAsia="zh-CN" w:bidi="ar-SA"/>
        </w:rPr>
        <w:t>第</w:t>
      </w:r>
      <w:r>
        <w:rPr>
          <w:rFonts w:hint="eastAsia" w:ascii="仿宋_GB2312" w:hAnsi="仿宋_GB2312" w:cs="仿宋_GB2312"/>
          <w:b/>
          <w:bCs/>
          <w:snapToGrid w:val="0"/>
          <w:kern w:val="0"/>
          <w:sz w:val="32"/>
          <w:szCs w:val="32"/>
          <w:lang w:val="en-US" w:eastAsia="zh-CN" w:bidi="ar-SA"/>
        </w:rPr>
        <w:t>五十一</w:t>
      </w:r>
      <w:r>
        <w:rPr>
          <w:rFonts w:hint="eastAsia" w:ascii="仿宋_GB2312" w:hAnsi="仿宋_GB2312"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城市绿化行政主管部门采取定期检查与不定期抽查相结合的方式，重点核查占用范围、保护措施落实、围挡设置、是否损坏绿地等情况，发现问题责令限期整改，逾期未整改的依法处理。</w:t>
      </w:r>
    </w:p>
    <w:p w14:paraId="227A2496">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both"/>
        <w:textAlignment w:val="baseline"/>
        <w:outlineLvl w:val="3"/>
        <w:rPr>
          <w:rFonts w:hint="default" w:ascii="Times New Roman" w:hAnsi="Times New Roman" w:eastAsia="黑体" w:cs="黑体"/>
          <w:b w:val="0"/>
          <w:bCs w:val="0"/>
          <w:snapToGrid w:val="0"/>
          <w:kern w:val="0"/>
          <w:sz w:val="32"/>
          <w:szCs w:val="32"/>
          <w:lang w:val="en-US" w:eastAsia="zh-CN" w:bidi="ar-SA"/>
        </w:rPr>
      </w:pPr>
    </w:p>
    <w:p w14:paraId="11F2A936">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eastAsia" w:ascii="宋体" w:hAnsi="宋体" w:eastAsia="宋体" w:cs="宋体"/>
          <w:b w:val="0"/>
          <w:i w:val="0"/>
          <w:iCs w:val="0"/>
          <w:caps w:val="0"/>
          <w:strike w:val="0"/>
          <w:color w:val="auto"/>
          <w:spacing w:val="0"/>
          <w:sz w:val="32"/>
          <w:szCs w:val="32"/>
          <w:u w:val="none"/>
        </w:rPr>
      </w:pPr>
      <w:r>
        <w:rPr>
          <w:rFonts w:hint="default" w:ascii="Times New Roman" w:hAnsi="Times New Roman" w:eastAsia="黑体" w:cs="黑体"/>
          <w:b w:val="0"/>
          <w:bCs w:val="0"/>
          <w:snapToGrid w:val="0"/>
          <w:kern w:val="0"/>
          <w:sz w:val="32"/>
          <w:szCs w:val="32"/>
          <w:lang w:val="en-US" w:eastAsia="zh-CN" w:bidi="ar-SA"/>
        </w:rPr>
        <w:t>第</w:t>
      </w:r>
      <w:r>
        <w:rPr>
          <w:rFonts w:hint="eastAsia" w:eastAsia="黑体" w:cs="黑体"/>
          <w:b w:val="0"/>
          <w:bCs w:val="0"/>
          <w:snapToGrid w:val="0"/>
          <w:kern w:val="0"/>
          <w:sz w:val="32"/>
          <w:szCs w:val="32"/>
          <w:lang w:val="en-US" w:eastAsia="zh-CN" w:bidi="ar-SA"/>
        </w:rPr>
        <w:t>七</w:t>
      </w:r>
      <w:r>
        <w:rPr>
          <w:rFonts w:hint="default" w:ascii="Times New Roman" w:hAnsi="Times New Roman" w:eastAsia="黑体" w:cs="黑体"/>
          <w:b w:val="0"/>
          <w:bCs w:val="0"/>
          <w:snapToGrid w:val="0"/>
          <w:kern w:val="0"/>
          <w:sz w:val="32"/>
          <w:szCs w:val="32"/>
          <w:lang w:val="en-US" w:eastAsia="zh-CN" w:bidi="ar-SA"/>
        </w:rPr>
        <w:t>章  </w:t>
      </w:r>
      <w:r>
        <w:rPr>
          <w:rFonts w:hint="eastAsia" w:eastAsia="黑体" w:cs="黑体"/>
          <w:b w:val="0"/>
          <w:bCs w:val="0"/>
          <w:snapToGrid w:val="0"/>
          <w:kern w:val="0"/>
          <w:sz w:val="32"/>
          <w:szCs w:val="32"/>
          <w:lang w:val="en-US" w:eastAsia="zh-CN" w:bidi="ar-SA"/>
        </w:rPr>
        <w:t>道路</w:t>
      </w:r>
      <w:r>
        <w:rPr>
          <w:rFonts w:hint="default" w:ascii="Times New Roman" w:hAnsi="Times New Roman" w:eastAsia="黑体" w:cs="黑体"/>
          <w:b w:val="0"/>
          <w:bCs w:val="0"/>
          <w:snapToGrid w:val="0"/>
          <w:kern w:val="0"/>
          <w:sz w:val="32"/>
          <w:szCs w:val="32"/>
          <w:lang w:val="en-US" w:eastAsia="zh-CN" w:bidi="ar-SA"/>
        </w:rPr>
        <w:t>修复</w:t>
      </w:r>
      <w:r>
        <w:rPr>
          <w:rFonts w:hint="eastAsia" w:ascii="Times New Roman" w:hAnsi="Times New Roman" w:eastAsia="黑体" w:cs="黑体"/>
          <w:b w:val="0"/>
          <w:bCs w:val="0"/>
          <w:snapToGrid w:val="0"/>
          <w:kern w:val="0"/>
          <w:sz w:val="32"/>
          <w:szCs w:val="32"/>
          <w:lang w:val="en-US" w:eastAsia="zh-CN" w:bidi="ar-SA"/>
        </w:rPr>
        <w:t>与验收</w:t>
      </w:r>
      <w:r>
        <w:rPr>
          <w:rFonts w:hint="default" w:ascii="Times New Roman" w:hAnsi="Times New Roman" w:eastAsia="黑体" w:cs="黑体"/>
          <w:b w:val="0"/>
          <w:bCs w:val="0"/>
          <w:snapToGrid w:val="0"/>
          <w:kern w:val="0"/>
          <w:sz w:val="32"/>
          <w:szCs w:val="32"/>
          <w:lang w:val="en-US" w:eastAsia="zh-CN" w:bidi="ar-SA"/>
        </w:rPr>
        <w:t>管理</w:t>
      </w:r>
    </w:p>
    <w:p w14:paraId="417496F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五十二</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住房和城乡建设部门</w:t>
      </w:r>
      <w:r>
        <w:rPr>
          <w:rFonts w:hint="eastAsia" w:cs="仿宋_GB2312"/>
          <w:snapToGrid w:val="0"/>
          <w:kern w:val="0"/>
          <w:sz w:val="32"/>
          <w:szCs w:val="32"/>
          <w:lang w:val="en-US" w:eastAsia="zh-CN" w:bidi="ar-SA"/>
        </w:rPr>
        <w:t>、城市管理部门负责组织相关部门对</w:t>
      </w:r>
      <w:r>
        <w:rPr>
          <w:rFonts w:hint="default" w:ascii="Times New Roman" w:hAnsi="Times New Roman" w:eastAsia="仿宋_GB2312" w:cs="仿宋_GB2312"/>
          <w:snapToGrid w:val="0"/>
          <w:kern w:val="0"/>
          <w:sz w:val="32"/>
          <w:szCs w:val="32"/>
          <w:lang w:val="en-US" w:eastAsia="zh-CN" w:bidi="ar-SA"/>
        </w:rPr>
        <w:t>修复工程</w:t>
      </w:r>
      <w:r>
        <w:rPr>
          <w:rFonts w:hint="eastAsia" w:cs="仿宋_GB2312"/>
          <w:snapToGrid w:val="0"/>
          <w:kern w:val="0"/>
          <w:sz w:val="32"/>
          <w:szCs w:val="32"/>
          <w:lang w:val="en-US" w:eastAsia="zh-CN" w:bidi="ar-SA"/>
        </w:rPr>
        <w:t>进行</w:t>
      </w:r>
      <w:r>
        <w:rPr>
          <w:rFonts w:hint="default" w:ascii="Times New Roman" w:hAnsi="Times New Roman" w:eastAsia="仿宋_GB2312" w:cs="仿宋_GB2312"/>
          <w:snapToGrid w:val="0"/>
          <w:kern w:val="0"/>
          <w:sz w:val="32"/>
          <w:szCs w:val="32"/>
          <w:lang w:val="en-US" w:eastAsia="zh-CN" w:bidi="ar-SA"/>
        </w:rPr>
        <w:t>全过程监督管理和</w:t>
      </w:r>
      <w:r>
        <w:rPr>
          <w:rFonts w:hint="eastAsia" w:cs="仿宋_GB2312"/>
          <w:snapToGrid w:val="0"/>
          <w:kern w:val="0"/>
          <w:sz w:val="32"/>
          <w:szCs w:val="32"/>
          <w:lang w:val="en-US" w:eastAsia="zh-CN" w:bidi="ar-SA"/>
        </w:rPr>
        <w:t>开展修复后的</w:t>
      </w:r>
      <w:r>
        <w:rPr>
          <w:rFonts w:hint="eastAsia" w:ascii="Times New Roman" w:hAnsi="Times New Roman" w:eastAsia="仿宋_GB2312" w:cs="仿宋_GB2312"/>
          <w:snapToGrid w:val="0"/>
          <w:kern w:val="0"/>
          <w:sz w:val="32"/>
          <w:szCs w:val="32"/>
          <w:lang w:val="en-US" w:eastAsia="zh-CN" w:bidi="ar-SA"/>
        </w:rPr>
        <w:t>联合</w:t>
      </w:r>
      <w:r>
        <w:rPr>
          <w:rFonts w:hint="default" w:ascii="Times New Roman" w:hAnsi="Times New Roman" w:eastAsia="仿宋_GB2312" w:cs="仿宋_GB2312"/>
          <w:snapToGrid w:val="0"/>
          <w:kern w:val="0"/>
          <w:sz w:val="32"/>
          <w:szCs w:val="32"/>
          <w:lang w:val="en-US" w:eastAsia="zh-CN" w:bidi="ar-SA"/>
        </w:rPr>
        <w:t>验收工作。</w:t>
      </w:r>
    </w:p>
    <w:p w14:paraId="11CADDF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五十三</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建设单位应当严格按照经审查同意的设计（施工）方案开展回填、压实、路基脱空注浆、路面修复及质量抽检和验收等工作，道路修复质量应当达到设计及规范要求</w:t>
      </w:r>
      <w:r>
        <w:rPr>
          <w:rFonts w:hint="eastAsia" w:cs="仿宋_GB2312"/>
          <w:snapToGrid w:val="0"/>
          <w:kern w:val="0"/>
          <w:sz w:val="32"/>
          <w:szCs w:val="32"/>
          <w:lang w:val="en-US" w:eastAsia="zh-CN" w:bidi="ar-SA"/>
        </w:rPr>
        <w:t>。</w:t>
      </w:r>
    </w:p>
    <w:p w14:paraId="30A39A2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五十四</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建设单位应当委托具有公路工程或道路工程质量检测资质的第三方专业检测单位，依法依规对项目的开挖、脱空检测（注浆）、工后置换及道路修复质量等内容编制检测方案，按照规定程序和要求开展质量检测并出具检测报告。</w:t>
      </w:r>
    </w:p>
    <w:p w14:paraId="28478DA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第三方检测单位对检测方案和检测报告的真实性和合法性负法律责任。</w:t>
      </w:r>
    </w:p>
    <w:p w14:paraId="1B3610A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五十五</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建设单位应当按照原路面标准恢复占用挖掘</w:t>
      </w:r>
      <w:r>
        <w:rPr>
          <w:rFonts w:hint="eastAsia" w:cs="仿宋_GB2312"/>
          <w:snapToGrid w:val="0"/>
          <w:kern w:val="0"/>
          <w:sz w:val="32"/>
          <w:szCs w:val="32"/>
          <w:lang w:val="en-US" w:eastAsia="zh-CN" w:bidi="ar-SA"/>
        </w:rPr>
        <w:t>的</w:t>
      </w:r>
      <w:r>
        <w:rPr>
          <w:rFonts w:hint="default" w:ascii="Times New Roman" w:hAnsi="Times New Roman" w:eastAsia="仿宋_GB2312" w:cs="仿宋_GB2312"/>
          <w:snapToGrid w:val="0"/>
          <w:kern w:val="0"/>
          <w:sz w:val="32"/>
          <w:szCs w:val="32"/>
          <w:lang w:val="en-US" w:eastAsia="zh-CN" w:bidi="ar-SA"/>
        </w:rPr>
        <w:t>道路，实施</w:t>
      </w:r>
      <w:r>
        <w:rPr>
          <w:rFonts w:hint="eastAsia" w:cs="仿宋_GB2312"/>
          <w:snapToGrid w:val="0"/>
          <w:kern w:val="0"/>
          <w:sz w:val="32"/>
          <w:szCs w:val="32"/>
          <w:lang w:val="en-US" w:eastAsia="zh-CN" w:bidi="ar-SA"/>
        </w:rPr>
        <w:t>封</w:t>
      </w:r>
      <w:r>
        <w:rPr>
          <w:rFonts w:hint="default" w:ascii="Times New Roman" w:hAnsi="Times New Roman" w:eastAsia="仿宋_GB2312" w:cs="仿宋_GB2312"/>
          <w:snapToGrid w:val="0"/>
          <w:kern w:val="0"/>
          <w:sz w:val="32"/>
          <w:szCs w:val="32"/>
          <w:lang w:val="en-US" w:eastAsia="zh-CN" w:bidi="ar-SA"/>
        </w:rPr>
        <w:t>路挖掘的应当提交第三方基层压实度报告；</w:t>
      </w:r>
      <w:r>
        <w:rPr>
          <w:rFonts w:hint="eastAsia" w:cs="仿宋_GB2312"/>
          <w:snapToGrid w:val="0"/>
          <w:kern w:val="0"/>
          <w:sz w:val="32"/>
          <w:szCs w:val="32"/>
          <w:lang w:val="en-US" w:eastAsia="zh-CN" w:bidi="ar-SA"/>
        </w:rPr>
        <w:t>设置检查井的工程项目，</w:t>
      </w:r>
      <w:r>
        <w:rPr>
          <w:rFonts w:hint="default" w:ascii="Times New Roman" w:hAnsi="Times New Roman" w:eastAsia="仿宋_GB2312" w:cs="仿宋_GB2312"/>
          <w:snapToGrid w:val="0"/>
          <w:kern w:val="0"/>
          <w:sz w:val="32"/>
          <w:szCs w:val="32"/>
          <w:lang w:val="en-US" w:eastAsia="zh-CN" w:bidi="ar-SA"/>
        </w:rPr>
        <w:t>检查井与路面高差</w:t>
      </w:r>
      <w:r>
        <w:rPr>
          <w:rFonts w:hint="eastAsia" w:cs="仿宋_GB2312"/>
          <w:snapToGrid w:val="0"/>
          <w:kern w:val="0"/>
          <w:sz w:val="32"/>
          <w:szCs w:val="32"/>
          <w:lang w:val="en-US" w:eastAsia="zh-CN" w:bidi="ar-SA"/>
        </w:rPr>
        <w:t>应</w:t>
      </w:r>
      <w:r>
        <w:rPr>
          <w:rFonts w:hint="default" w:ascii="Times New Roman" w:hAnsi="Times New Roman" w:eastAsia="仿宋_GB2312" w:cs="仿宋_GB2312"/>
          <w:snapToGrid w:val="0"/>
          <w:kern w:val="0"/>
          <w:sz w:val="32"/>
          <w:szCs w:val="32"/>
          <w:lang w:val="en-US" w:eastAsia="zh-CN" w:bidi="ar-SA"/>
        </w:rPr>
        <w:t>≤2mm，井盖采用防沉降型</w:t>
      </w:r>
      <w:r>
        <w:rPr>
          <w:rFonts w:hint="eastAsia" w:cs="仿宋_GB2312"/>
          <w:snapToGrid w:val="0"/>
          <w:kern w:val="0"/>
          <w:sz w:val="32"/>
          <w:szCs w:val="32"/>
          <w:lang w:val="en-US" w:eastAsia="zh-CN" w:bidi="ar-SA"/>
        </w:rPr>
        <w:t>；</w:t>
      </w:r>
      <w:r>
        <w:rPr>
          <w:rFonts w:hint="eastAsia" w:ascii="Times New Roman" w:hAnsi="Times New Roman" w:eastAsia="仿宋_GB2312" w:cs="仿宋_GB2312"/>
          <w:snapToGrid w:val="0"/>
          <w:kern w:val="0"/>
          <w:sz w:val="32"/>
          <w:szCs w:val="32"/>
          <w:lang w:val="en-US" w:eastAsia="zh-CN" w:bidi="ar-SA"/>
        </w:rPr>
        <w:t>修复施工时间最长不得超过15日。</w:t>
      </w:r>
    </w:p>
    <w:p w14:paraId="3904F47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五十六</w:t>
      </w:r>
      <w:r>
        <w:rPr>
          <w:rFonts w:hint="default"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挖掘道路</w:t>
      </w:r>
      <w:r>
        <w:rPr>
          <w:rFonts w:hint="eastAsia" w:cs="仿宋_GB2312"/>
          <w:snapToGrid w:val="0"/>
          <w:kern w:val="0"/>
          <w:sz w:val="32"/>
          <w:szCs w:val="32"/>
          <w:lang w:val="en-US" w:eastAsia="zh-CN" w:bidi="ar-SA"/>
        </w:rPr>
        <w:t>修复</w:t>
      </w:r>
      <w:r>
        <w:rPr>
          <w:rFonts w:hint="default" w:ascii="Times New Roman" w:hAnsi="Times New Roman" w:eastAsia="仿宋_GB2312" w:cs="仿宋_GB2312"/>
          <w:snapToGrid w:val="0"/>
          <w:kern w:val="0"/>
          <w:sz w:val="32"/>
          <w:szCs w:val="32"/>
          <w:lang w:val="en-US" w:eastAsia="zh-CN" w:bidi="ar-SA"/>
        </w:rPr>
        <w:t>应当考虑道路整体性，在挖掘沟槽宽度的基础上适当扩大，沟槽宽度不足1米的，恢复宽度延展至1.5米；沟槽宽度超过1米，恢复宽度延展至一个车行道宽度；沟槽宽度超过一个车行道宽度的，按照两个车行道宽度恢复。</w:t>
      </w:r>
    </w:p>
    <w:p w14:paraId="5FE7CB9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五十七</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eastAsia" w:ascii="Times New Roman" w:hAnsi="Times New Roman" w:eastAsia="仿宋_GB2312" w:cs="仿宋_GB2312"/>
          <w:snapToGrid w:val="0"/>
          <w:kern w:val="0"/>
          <w:sz w:val="32"/>
          <w:szCs w:val="32"/>
          <w:lang w:val="en-US" w:eastAsia="zh-CN" w:bidi="ar-SA"/>
        </w:rPr>
        <w:t>城市道路横向挖掘的，应当日回填，道路面层应当采取临时硬化措施。因特殊需要在冬季进行道路横向挖掘、抢修的，应当使用天然砂砾进行管沟回填。</w:t>
      </w:r>
    </w:p>
    <w:p w14:paraId="3877AEC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五十八</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道路红线（边线）范围内的非开挖施工项目（顶管、定向钻等）应当按规定开展道路路基脱空勘探、路基脱空注浆。路基脱空勘探范围要求：</w:t>
      </w:r>
    </w:p>
    <w:p w14:paraId="3E5A185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（一）横向：管道施工边线两侧各不少于5米；</w:t>
      </w:r>
    </w:p>
    <w:p w14:paraId="3CAAAB5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（二）纵向：探测深度不少于5米（或管底下方1米）。</w:t>
      </w:r>
    </w:p>
    <w:p w14:paraId="6E7DEAA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五十九</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道路红线（边线）范围内的非开挖施工项目（顶管、定向钻等）管线布设后应当按要求（设计管径大于20厘米）开展工后置换。</w:t>
      </w:r>
    </w:p>
    <w:p w14:paraId="6DF567C7">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snapToGrid w:val="0"/>
          <w:kern w:val="0"/>
          <w:sz w:val="32"/>
          <w:szCs w:val="32"/>
          <w:lang w:val="en-US" w:eastAsia="zh-CN" w:bidi="ar-SA"/>
        </w:rPr>
        <w:t>非开挖施工项目未按要求开展工后置换，以及未按要求开展道路路基脱空勘探及脱空注浆的，建设单位不得申请</w:t>
      </w:r>
      <w:r>
        <w:rPr>
          <w:rFonts w:hint="eastAsia" w:cs="仿宋_GB2312"/>
          <w:snapToGrid w:val="0"/>
          <w:kern w:val="0"/>
          <w:sz w:val="32"/>
          <w:szCs w:val="32"/>
          <w:lang w:val="en-US" w:eastAsia="zh-CN" w:bidi="ar-SA"/>
        </w:rPr>
        <w:t>修复</w:t>
      </w:r>
      <w:r>
        <w:rPr>
          <w:rFonts w:hint="eastAsia" w:ascii="Times New Roman" w:hAnsi="Times New Roman" w:eastAsia="仿宋_GB2312" w:cs="仿宋_GB2312"/>
          <w:snapToGrid w:val="0"/>
          <w:kern w:val="0"/>
          <w:sz w:val="32"/>
          <w:szCs w:val="32"/>
          <w:lang w:val="en-US" w:eastAsia="zh-CN" w:bidi="ar-SA"/>
        </w:rPr>
        <w:t>工程质量验收。</w:t>
      </w:r>
    </w:p>
    <w:p w14:paraId="499999E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六十</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采取非开挖措施穿越道路造成城市道路设施以及其他设施损坏的，应当承担相应的恢复和赔偿责任。</w:t>
      </w:r>
    </w:p>
    <w:p w14:paraId="6E3D5F1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六十一</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占用挖掘道路项目质量保修期为1年，自项目通过验收之日起算。质量保修期内，路面发生沉陷、损坏，路基沉降等影响道路正常使用及行车安全等应当返修情形时，建设单位应当及时组织返修，返修完成并经检验合格后，市政道路管养单位方可接养。发生过返修的工程项目，其保修期自返修合格后重新计算。</w:t>
      </w:r>
    </w:p>
    <w:p w14:paraId="6DD3FF1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六十二</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建设单位应当在占用挖掘道路项目完工后，按规定及时申请项目验收，</w:t>
      </w:r>
      <w:r>
        <w:rPr>
          <w:rFonts w:hint="default" w:ascii="Times New Roman" w:hAnsi="Times New Roman" w:eastAsia="仿宋_GB2312" w:cs="仿宋_GB2312"/>
          <w:snapToGrid w:val="0"/>
          <w:kern w:val="0"/>
          <w:sz w:val="32"/>
          <w:szCs w:val="32"/>
          <w:lang w:val="en-US" w:eastAsia="zh-CN" w:bidi="ar-SA"/>
        </w:rPr>
        <w:t>住房和城乡建设部门</w:t>
      </w:r>
      <w:r>
        <w:rPr>
          <w:rFonts w:hint="eastAsia" w:ascii="Times New Roman" w:hAnsi="Times New Roman" w:eastAsia="仿宋_GB2312" w:cs="仿宋_GB2312"/>
          <w:snapToGrid w:val="0"/>
          <w:kern w:val="0"/>
          <w:sz w:val="32"/>
          <w:szCs w:val="32"/>
          <w:lang w:val="en-US" w:eastAsia="zh-CN" w:bidi="ar-SA"/>
        </w:rPr>
        <w:t>组织城市管理部门、公安交通管理部门、市政道路管养单位等</w:t>
      </w:r>
      <w:r>
        <w:rPr>
          <w:rFonts w:hint="eastAsia" w:cs="仿宋_GB2312"/>
          <w:snapToGrid w:val="0"/>
          <w:kern w:val="0"/>
          <w:sz w:val="32"/>
          <w:szCs w:val="32"/>
          <w:lang w:val="en-US" w:eastAsia="zh-CN" w:bidi="ar-SA"/>
        </w:rPr>
        <w:t>相关</w:t>
      </w:r>
      <w:r>
        <w:rPr>
          <w:rFonts w:hint="eastAsia" w:ascii="Times New Roman" w:hAnsi="Times New Roman" w:eastAsia="仿宋_GB2312" w:cs="仿宋_GB2312"/>
          <w:snapToGrid w:val="0"/>
          <w:kern w:val="0"/>
          <w:sz w:val="32"/>
          <w:szCs w:val="32"/>
          <w:lang w:val="en-US" w:eastAsia="zh-CN" w:bidi="ar-SA"/>
        </w:rPr>
        <w:t>部门联合验收。</w:t>
      </w:r>
    </w:p>
    <w:p w14:paraId="7E16B007">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六十三</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城市道路挖掘修复工程经验收合格方可投入使用，工程验收不合格，施工单位应当制定修复方案，并承担修复费用。</w:t>
      </w:r>
    </w:p>
    <w:p w14:paraId="1620866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六十四</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市政道路管养单位不得接养未经验收通过的项目，因项目未通过验收而引起的交通安全等事故责任由建设单位负责。</w:t>
      </w:r>
    </w:p>
    <w:p w14:paraId="54C8579C">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default" w:ascii="Times New Roman" w:hAnsi="Times New Roman" w:eastAsia="黑体" w:cs="黑体"/>
          <w:b w:val="0"/>
          <w:bCs w:val="0"/>
          <w:snapToGrid w:val="0"/>
          <w:kern w:val="0"/>
          <w:sz w:val="32"/>
          <w:szCs w:val="32"/>
          <w:lang w:val="en-US" w:eastAsia="zh-CN" w:bidi="ar-SA"/>
        </w:rPr>
      </w:pPr>
    </w:p>
    <w:p w14:paraId="5A5E5010">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default" w:ascii="Times New Roman" w:hAnsi="Times New Roman" w:eastAsia="黑体" w:cs="黑体"/>
          <w:b w:val="0"/>
          <w:bCs w:val="0"/>
          <w:snapToGrid w:val="0"/>
          <w:kern w:val="0"/>
          <w:sz w:val="32"/>
          <w:szCs w:val="32"/>
          <w:lang w:val="en-US" w:eastAsia="zh-CN" w:bidi="ar-SA"/>
        </w:rPr>
      </w:pPr>
      <w:r>
        <w:rPr>
          <w:rFonts w:hint="default" w:ascii="Times New Roman" w:hAnsi="Times New Roman" w:eastAsia="黑体" w:cs="黑体"/>
          <w:b w:val="0"/>
          <w:bCs w:val="0"/>
          <w:snapToGrid w:val="0"/>
          <w:kern w:val="0"/>
          <w:sz w:val="32"/>
          <w:szCs w:val="32"/>
          <w:lang w:val="en-US" w:eastAsia="zh-CN" w:bidi="ar-SA"/>
        </w:rPr>
        <w:t>第</w:t>
      </w:r>
      <w:r>
        <w:rPr>
          <w:rFonts w:hint="eastAsia" w:eastAsia="黑体" w:cs="黑体"/>
          <w:b w:val="0"/>
          <w:bCs w:val="0"/>
          <w:snapToGrid w:val="0"/>
          <w:kern w:val="0"/>
          <w:sz w:val="32"/>
          <w:szCs w:val="32"/>
          <w:lang w:val="en-US" w:eastAsia="zh-CN" w:bidi="ar-SA"/>
        </w:rPr>
        <w:t>八</w:t>
      </w:r>
      <w:r>
        <w:rPr>
          <w:rFonts w:hint="default" w:ascii="Times New Roman" w:hAnsi="Times New Roman" w:eastAsia="黑体" w:cs="黑体"/>
          <w:b w:val="0"/>
          <w:bCs w:val="0"/>
          <w:snapToGrid w:val="0"/>
          <w:kern w:val="0"/>
          <w:sz w:val="32"/>
          <w:szCs w:val="32"/>
          <w:lang w:val="en-US" w:eastAsia="zh-CN" w:bidi="ar-SA"/>
        </w:rPr>
        <w:t>章　绿化恢复与验收管理</w:t>
      </w:r>
    </w:p>
    <w:p w14:paraId="390FDE7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bCs/>
          <w:snapToGrid w:val="0"/>
          <w:kern w:val="0"/>
          <w:sz w:val="32"/>
          <w:szCs w:val="32"/>
          <w:lang w:val="en-US" w:eastAsia="zh-CN" w:bidi="ar-SA"/>
        </w:rPr>
        <w:t>第</w:t>
      </w:r>
      <w:r>
        <w:rPr>
          <w:rFonts w:hint="eastAsia" w:ascii="仿宋_GB2312" w:hAnsi="仿宋_GB2312" w:cs="仿宋_GB2312"/>
          <w:b/>
          <w:bCs/>
          <w:snapToGrid w:val="0"/>
          <w:kern w:val="0"/>
          <w:sz w:val="32"/>
          <w:szCs w:val="32"/>
          <w:lang w:val="en-US" w:eastAsia="zh-CN" w:bidi="ar-SA"/>
        </w:rPr>
        <w:t>六十五</w:t>
      </w:r>
      <w:r>
        <w:rPr>
          <w:rFonts w:hint="eastAsia" w:ascii="仿宋_GB2312" w:hAnsi="仿宋_GB2312"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临时占用绿地</w:t>
      </w:r>
      <w:r>
        <w:rPr>
          <w:rFonts w:hint="eastAsia" w:ascii="仿宋_GB2312" w:hAnsi="仿宋_GB2312" w:cs="仿宋_GB2312"/>
          <w:b w:val="0"/>
          <w:bCs w:val="0"/>
          <w:snapToGrid w:val="0"/>
          <w:kern w:val="0"/>
          <w:sz w:val="32"/>
          <w:szCs w:val="32"/>
          <w:lang w:val="en-US" w:eastAsia="zh-CN" w:bidi="ar-SA"/>
        </w:rPr>
        <w:t>施工</w:t>
      </w:r>
      <w:r>
        <w:rPr>
          <w:rFonts w:hint="eastAsia" w:ascii="仿宋_GB2312" w:hAnsi="仿宋_GB2312" w:eastAsia="仿宋_GB2312" w:cs="仿宋_GB2312"/>
          <w:b w:val="0"/>
          <w:bCs w:val="0"/>
          <w:snapToGrid w:val="0"/>
          <w:kern w:val="0"/>
          <w:sz w:val="32"/>
          <w:szCs w:val="32"/>
          <w:lang w:val="en-US" w:eastAsia="zh-CN" w:bidi="ar-SA"/>
        </w:rPr>
        <w:t>期满后，申请人需在15日内清理施工场地、拆除临时设施及围挡，启动绿化恢复工作，绿化恢复工程需在主体工程完工后的第二个绿化季节前完成。</w:t>
      </w:r>
    </w:p>
    <w:p w14:paraId="2A65178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bCs/>
          <w:snapToGrid w:val="0"/>
          <w:kern w:val="0"/>
          <w:sz w:val="32"/>
          <w:szCs w:val="32"/>
          <w:lang w:val="en-US" w:eastAsia="zh-CN" w:bidi="ar-SA"/>
        </w:rPr>
        <w:t>第</w:t>
      </w:r>
      <w:r>
        <w:rPr>
          <w:rFonts w:hint="eastAsia" w:ascii="仿宋_GB2312" w:hAnsi="仿宋_GB2312" w:cs="仿宋_GB2312"/>
          <w:b/>
          <w:bCs/>
          <w:snapToGrid w:val="0"/>
          <w:kern w:val="0"/>
          <w:sz w:val="32"/>
          <w:szCs w:val="32"/>
          <w:lang w:val="en-US" w:eastAsia="zh-CN" w:bidi="ar-SA"/>
        </w:rPr>
        <w:t>六</w:t>
      </w:r>
      <w:r>
        <w:rPr>
          <w:rFonts w:hint="eastAsia" w:ascii="仿宋_GB2312" w:hAnsi="仿宋_GB2312" w:eastAsia="仿宋_GB2312" w:cs="仿宋_GB2312"/>
          <w:b/>
          <w:bCs/>
          <w:snapToGrid w:val="0"/>
          <w:kern w:val="0"/>
          <w:sz w:val="32"/>
          <w:szCs w:val="32"/>
          <w:lang w:val="en-US" w:eastAsia="zh-CN" w:bidi="ar-SA"/>
        </w:rPr>
        <w:t>十</w:t>
      </w:r>
      <w:r>
        <w:rPr>
          <w:rFonts w:hint="eastAsia" w:ascii="仿宋_GB2312" w:hAnsi="仿宋_GB2312" w:cs="仿宋_GB2312"/>
          <w:b/>
          <w:bCs/>
          <w:snapToGrid w:val="0"/>
          <w:kern w:val="0"/>
          <w:sz w:val="32"/>
          <w:szCs w:val="32"/>
          <w:lang w:val="en-US" w:eastAsia="zh-CN" w:bidi="ar-SA"/>
        </w:rPr>
        <w:t>六</w:t>
      </w:r>
      <w:r>
        <w:rPr>
          <w:rFonts w:hint="eastAsia" w:ascii="仿宋_GB2312" w:hAnsi="仿宋_GB2312"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绿化恢复需符合以下标准：</w:t>
      </w:r>
    </w:p>
    <w:p w14:paraId="338CCAA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（一）</w:t>
      </w:r>
      <w:r>
        <w:rPr>
          <w:rFonts w:hint="eastAsia" w:ascii="仿宋_GB2312" w:hAnsi="仿宋_GB2312" w:eastAsia="仿宋_GB2312" w:cs="仿宋_GB2312"/>
          <w:b w:val="0"/>
          <w:bCs w:val="0"/>
          <w:snapToGrid w:val="0"/>
          <w:kern w:val="0"/>
          <w:sz w:val="32"/>
          <w:szCs w:val="32"/>
          <w:lang w:val="en-US" w:eastAsia="zh-CN" w:bidi="ar-SA"/>
        </w:rPr>
        <w:t>按批准的恢复计划施工，恢复绿地面积不小于原占用面积，绿化覆盖率不低于原水平；</w:t>
      </w:r>
    </w:p>
    <w:p w14:paraId="0EC7557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（二）</w:t>
      </w:r>
      <w:r>
        <w:rPr>
          <w:rFonts w:hint="eastAsia" w:ascii="仿宋_GB2312" w:hAnsi="仿宋_GB2312" w:eastAsia="仿宋_GB2312" w:cs="仿宋_GB2312"/>
          <w:b w:val="0"/>
          <w:bCs w:val="0"/>
          <w:snapToGrid w:val="0"/>
          <w:kern w:val="0"/>
          <w:sz w:val="32"/>
          <w:szCs w:val="32"/>
          <w:lang w:val="en-US" w:eastAsia="zh-CN" w:bidi="ar-SA"/>
        </w:rPr>
        <w:t>优先选用师市乡土树种、适生植物，苗木质量达到国家二级以上标准，不低于原有苗木规格、数量及品质；</w:t>
      </w:r>
    </w:p>
    <w:p w14:paraId="26BAF80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（三）</w:t>
      </w:r>
      <w:r>
        <w:rPr>
          <w:rFonts w:hint="eastAsia" w:ascii="仿宋_GB2312" w:hAnsi="仿宋_GB2312" w:eastAsia="仿宋_GB2312" w:cs="仿宋_GB2312"/>
          <w:b w:val="0"/>
          <w:bCs w:val="0"/>
          <w:snapToGrid w:val="0"/>
          <w:kern w:val="0"/>
          <w:sz w:val="32"/>
          <w:szCs w:val="32"/>
          <w:lang w:val="en-US" w:eastAsia="zh-CN" w:bidi="ar-SA"/>
        </w:rPr>
        <w:t>土壤改良需满足植物生长需求，绿化灌溉、管网等设施恢复至原功能水平；</w:t>
      </w:r>
    </w:p>
    <w:p w14:paraId="704E572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（四）</w:t>
      </w:r>
      <w:r>
        <w:rPr>
          <w:rFonts w:hint="eastAsia" w:ascii="仿宋_GB2312" w:hAnsi="仿宋_GB2312" w:eastAsia="仿宋_GB2312" w:cs="仿宋_GB2312"/>
          <w:b w:val="0"/>
          <w:bCs w:val="0"/>
          <w:snapToGrid w:val="0"/>
          <w:kern w:val="0"/>
          <w:sz w:val="32"/>
          <w:szCs w:val="32"/>
          <w:lang w:val="en-US" w:eastAsia="zh-CN" w:bidi="ar-SA"/>
        </w:rPr>
        <w:t>补植树木成活率需达100%，养护期满后保存率达90%以上，灌木养护期不少于1年，乔木、亚乔木养护期不少于2年。</w:t>
      </w:r>
    </w:p>
    <w:p w14:paraId="468CFB4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bCs/>
          <w:snapToGrid w:val="0"/>
          <w:kern w:val="0"/>
          <w:sz w:val="32"/>
          <w:szCs w:val="32"/>
          <w:lang w:val="en-US" w:eastAsia="zh-CN" w:bidi="ar-SA"/>
        </w:rPr>
        <w:t>第</w:t>
      </w:r>
      <w:r>
        <w:rPr>
          <w:rFonts w:hint="eastAsia" w:ascii="仿宋_GB2312" w:hAnsi="仿宋_GB2312" w:cs="仿宋_GB2312"/>
          <w:b/>
          <w:bCs/>
          <w:snapToGrid w:val="0"/>
          <w:kern w:val="0"/>
          <w:sz w:val="32"/>
          <w:szCs w:val="32"/>
          <w:lang w:val="en-US" w:eastAsia="zh-CN" w:bidi="ar-SA"/>
        </w:rPr>
        <w:t>六</w:t>
      </w:r>
      <w:r>
        <w:rPr>
          <w:rFonts w:hint="eastAsia" w:ascii="仿宋_GB2312" w:hAnsi="仿宋_GB2312" w:eastAsia="仿宋_GB2312" w:cs="仿宋_GB2312"/>
          <w:b/>
          <w:bCs/>
          <w:snapToGrid w:val="0"/>
          <w:kern w:val="0"/>
          <w:sz w:val="32"/>
          <w:szCs w:val="32"/>
          <w:lang w:val="en-US" w:eastAsia="zh-CN" w:bidi="ar-SA"/>
        </w:rPr>
        <w:t>十</w:t>
      </w:r>
      <w:r>
        <w:rPr>
          <w:rFonts w:hint="eastAsia" w:ascii="仿宋_GB2312" w:hAnsi="仿宋_GB2312" w:cs="仿宋_GB2312"/>
          <w:b/>
          <w:bCs/>
          <w:snapToGrid w:val="0"/>
          <w:kern w:val="0"/>
          <w:sz w:val="32"/>
          <w:szCs w:val="32"/>
          <w:lang w:val="en-US" w:eastAsia="zh-CN" w:bidi="ar-SA"/>
        </w:rPr>
        <w:t>七</w:t>
      </w:r>
      <w:r>
        <w:rPr>
          <w:rFonts w:hint="eastAsia" w:ascii="仿宋_GB2312" w:hAnsi="仿宋_GB2312"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绿化恢复流程：</w:t>
      </w:r>
    </w:p>
    <w:p w14:paraId="4032E14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（一）</w:t>
      </w:r>
      <w:r>
        <w:rPr>
          <w:rFonts w:hint="eastAsia" w:ascii="仿宋_GB2312" w:hAnsi="仿宋_GB2312" w:eastAsia="仿宋_GB2312" w:cs="仿宋_GB2312"/>
          <w:b w:val="0"/>
          <w:bCs w:val="0"/>
          <w:snapToGrid w:val="0"/>
          <w:kern w:val="0"/>
          <w:sz w:val="32"/>
          <w:szCs w:val="32"/>
          <w:lang w:val="en-US" w:eastAsia="zh-CN" w:bidi="ar-SA"/>
        </w:rPr>
        <w:t>场地清理：清运建筑垃圾，平整场地，改良土壤；</w:t>
      </w:r>
    </w:p>
    <w:p w14:paraId="19EFA51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（二）</w:t>
      </w:r>
      <w:r>
        <w:rPr>
          <w:rFonts w:hint="eastAsia" w:ascii="仿宋_GB2312" w:hAnsi="仿宋_GB2312" w:eastAsia="仿宋_GB2312" w:cs="仿宋_GB2312"/>
          <w:b w:val="0"/>
          <w:bCs w:val="0"/>
          <w:snapToGrid w:val="0"/>
          <w:kern w:val="0"/>
          <w:sz w:val="32"/>
          <w:szCs w:val="32"/>
          <w:lang w:val="en-US" w:eastAsia="zh-CN" w:bidi="ar-SA"/>
        </w:rPr>
        <w:t>植物种植：按计划开展苗木种植、草坪铺设，同步恢复绿化设施；</w:t>
      </w:r>
    </w:p>
    <w:p w14:paraId="2355E5A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（三）</w:t>
      </w:r>
      <w:r>
        <w:rPr>
          <w:rFonts w:hint="eastAsia" w:ascii="仿宋_GB2312" w:hAnsi="仿宋_GB2312" w:eastAsia="仿宋_GB2312" w:cs="仿宋_GB2312"/>
          <w:b w:val="0"/>
          <w:bCs w:val="0"/>
          <w:snapToGrid w:val="0"/>
          <w:kern w:val="0"/>
          <w:sz w:val="32"/>
          <w:szCs w:val="32"/>
          <w:lang w:val="en-US" w:eastAsia="zh-CN" w:bidi="ar-SA"/>
        </w:rPr>
        <w:t>养护管理：种植后进入不少于6个月的养护期，落实浇水、施肥、病虫害防治、防寒等措施，做好养护记录；</w:t>
      </w:r>
    </w:p>
    <w:p w14:paraId="1F0910C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（四）</w:t>
      </w:r>
      <w:r>
        <w:rPr>
          <w:rFonts w:hint="eastAsia" w:ascii="仿宋_GB2312" w:hAnsi="仿宋_GB2312" w:eastAsia="仿宋_GB2312" w:cs="仿宋_GB2312"/>
          <w:b w:val="0"/>
          <w:bCs w:val="0"/>
          <w:snapToGrid w:val="0"/>
          <w:kern w:val="0"/>
          <w:sz w:val="32"/>
          <w:szCs w:val="32"/>
          <w:lang w:val="en-US" w:eastAsia="zh-CN" w:bidi="ar-SA"/>
        </w:rPr>
        <w:t>验收申请：养护期满后，申请人向城市绿化行政主管部门提交验收申请，附恢复工程竣工图、养护记录、费用凭证等材料。</w:t>
      </w:r>
    </w:p>
    <w:p w14:paraId="38544F9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eastAsia="仿宋_GB2312" w:cs="仿宋_GB2312"/>
          <w:b/>
          <w:bCs/>
          <w:snapToGrid w:val="0"/>
          <w:kern w:val="0"/>
          <w:sz w:val="32"/>
          <w:szCs w:val="32"/>
          <w:lang w:val="en-US" w:eastAsia="zh-CN" w:bidi="ar-SA"/>
        </w:rPr>
        <w:t>第</w:t>
      </w:r>
      <w:r>
        <w:rPr>
          <w:rFonts w:hint="eastAsia" w:ascii="仿宋_GB2312" w:hAnsi="仿宋_GB2312" w:cs="仿宋_GB2312"/>
          <w:b/>
          <w:bCs/>
          <w:snapToGrid w:val="0"/>
          <w:kern w:val="0"/>
          <w:sz w:val="32"/>
          <w:szCs w:val="32"/>
          <w:lang w:val="en-US" w:eastAsia="zh-CN" w:bidi="ar-SA"/>
        </w:rPr>
        <w:t>六</w:t>
      </w:r>
      <w:r>
        <w:rPr>
          <w:rFonts w:hint="eastAsia" w:ascii="仿宋_GB2312" w:hAnsi="仿宋_GB2312" w:eastAsia="仿宋_GB2312" w:cs="仿宋_GB2312"/>
          <w:b/>
          <w:bCs/>
          <w:snapToGrid w:val="0"/>
          <w:kern w:val="0"/>
          <w:sz w:val="32"/>
          <w:szCs w:val="32"/>
          <w:lang w:val="en-US" w:eastAsia="zh-CN" w:bidi="ar-SA"/>
        </w:rPr>
        <w:t>十</w:t>
      </w:r>
      <w:r>
        <w:rPr>
          <w:rFonts w:hint="eastAsia" w:ascii="仿宋_GB2312" w:hAnsi="仿宋_GB2312" w:cs="仿宋_GB2312"/>
          <w:b/>
          <w:bCs/>
          <w:snapToGrid w:val="0"/>
          <w:kern w:val="0"/>
          <w:sz w:val="32"/>
          <w:szCs w:val="32"/>
          <w:lang w:val="en-US" w:eastAsia="zh-CN" w:bidi="ar-SA"/>
        </w:rPr>
        <w:t>八</w:t>
      </w:r>
      <w:r>
        <w:rPr>
          <w:rFonts w:hint="eastAsia" w:ascii="仿宋_GB2312" w:hAnsi="仿宋_GB2312"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城市绿化行政主管部门收到验收申请后10个工作日内，组织绿地权属单位、绿化养护企业及相关专家开展验收：</w:t>
      </w:r>
    </w:p>
    <w:p w14:paraId="502D9BA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（一）</w:t>
      </w:r>
      <w:r>
        <w:rPr>
          <w:rFonts w:hint="eastAsia" w:ascii="仿宋_GB2312" w:hAnsi="仿宋_GB2312" w:eastAsia="仿宋_GB2312" w:cs="仿宋_GB2312"/>
          <w:b w:val="0"/>
          <w:bCs w:val="0"/>
          <w:snapToGrid w:val="0"/>
          <w:kern w:val="0"/>
          <w:sz w:val="32"/>
          <w:szCs w:val="32"/>
          <w:lang w:val="en-US" w:eastAsia="zh-CN" w:bidi="ar-SA"/>
        </w:rPr>
        <w:t>验收合格的，出具《绿化恢复验收合格通知书》；</w:t>
      </w:r>
    </w:p>
    <w:p w14:paraId="604030D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（二）</w:t>
      </w:r>
      <w:r>
        <w:rPr>
          <w:rFonts w:hint="eastAsia" w:ascii="仿宋_GB2312" w:hAnsi="仿宋_GB2312" w:eastAsia="仿宋_GB2312" w:cs="仿宋_GB2312"/>
          <w:b w:val="0"/>
          <w:bCs w:val="0"/>
          <w:snapToGrid w:val="0"/>
          <w:kern w:val="0"/>
          <w:sz w:val="32"/>
          <w:szCs w:val="32"/>
          <w:lang w:val="en-US" w:eastAsia="zh-CN" w:bidi="ar-SA"/>
        </w:rPr>
        <w:t>验收不合格的，责令限期整改，整改合格后重新验收；</w:t>
      </w:r>
    </w:p>
    <w:p w14:paraId="38B0FF1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（三）</w:t>
      </w:r>
      <w:r>
        <w:rPr>
          <w:rFonts w:hint="eastAsia" w:ascii="仿宋_GB2312" w:hAnsi="仿宋_GB2312" w:eastAsia="仿宋_GB2312" w:cs="仿宋_GB2312"/>
          <w:b w:val="0"/>
          <w:bCs w:val="0"/>
          <w:snapToGrid w:val="0"/>
          <w:kern w:val="0"/>
          <w:sz w:val="32"/>
          <w:szCs w:val="32"/>
          <w:lang w:val="en-US" w:eastAsia="zh-CN" w:bidi="ar-SA"/>
        </w:rPr>
        <w:t>逾期未完成恢复或整改仍不合格的，由城市绿化行政主管部门组织代为恢复，所需费用由申请人承担。</w:t>
      </w:r>
    </w:p>
    <w:p w14:paraId="2446DA92">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default" w:ascii="Times New Roman" w:hAnsi="Times New Roman" w:eastAsia="黑体" w:cs="黑体"/>
          <w:b w:val="0"/>
          <w:bCs w:val="0"/>
          <w:snapToGrid w:val="0"/>
          <w:kern w:val="0"/>
          <w:sz w:val="32"/>
          <w:szCs w:val="32"/>
          <w:lang w:val="en-US" w:eastAsia="zh-CN" w:bidi="ar-SA"/>
        </w:rPr>
      </w:pPr>
    </w:p>
    <w:p w14:paraId="41BB6F55">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outlineLvl w:val="3"/>
        <w:rPr>
          <w:rFonts w:hint="default" w:ascii="Times New Roman" w:hAnsi="Times New Roman" w:eastAsia="仿宋_GB2312" w:cs="仿宋_GB2312"/>
          <w:snapToGrid w:val="0"/>
          <w:kern w:val="0"/>
          <w:sz w:val="32"/>
          <w:szCs w:val="32"/>
          <w:lang w:val="en-US" w:eastAsia="zh-CN" w:bidi="ar-SA"/>
        </w:rPr>
      </w:pPr>
      <w:r>
        <w:rPr>
          <w:rFonts w:hint="default" w:ascii="Times New Roman" w:hAnsi="Times New Roman" w:eastAsia="黑体" w:cs="黑体"/>
          <w:b w:val="0"/>
          <w:bCs w:val="0"/>
          <w:snapToGrid w:val="0"/>
          <w:kern w:val="0"/>
          <w:sz w:val="32"/>
          <w:szCs w:val="32"/>
          <w:lang w:val="en-US" w:eastAsia="zh-CN" w:bidi="ar-SA"/>
        </w:rPr>
        <w:t>第</w:t>
      </w:r>
      <w:r>
        <w:rPr>
          <w:rFonts w:hint="eastAsia" w:eastAsia="黑体" w:cs="黑体"/>
          <w:b w:val="0"/>
          <w:bCs w:val="0"/>
          <w:snapToGrid w:val="0"/>
          <w:kern w:val="0"/>
          <w:sz w:val="32"/>
          <w:szCs w:val="32"/>
          <w:lang w:val="en-US" w:eastAsia="zh-CN" w:bidi="ar-SA"/>
        </w:rPr>
        <w:t>九</w:t>
      </w:r>
      <w:r>
        <w:rPr>
          <w:rFonts w:hint="default" w:ascii="Times New Roman" w:hAnsi="Times New Roman" w:eastAsia="黑体" w:cs="黑体"/>
          <w:b w:val="0"/>
          <w:bCs w:val="0"/>
          <w:snapToGrid w:val="0"/>
          <w:kern w:val="0"/>
          <w:sz w:val="32"/>
          <w:szCs w:val="32"/>
          <w:lang w:val="en-US" w:eastAsia="zh-CN" w:bidi="ar-SA"/>
        </w:rPr>
        <w:t>章  </w:t>
      </w:r>
      <w:r>
        <w:rPr>
          <w:rFonts w:hint="eastAsia" w:eastAsia="黑体" w:cs="黑体"/>
          <w:b w:val="0"/>
          <w:bCs w:val="0"/>
          <w:snapToGrid w:val="0"/>
          <w:kern w:val="0"/>
          <w:sz w:val="32"/>
          <w:szCs w:val="32"/>
          <w:lang w:val="en-US" w:eastAsia="zh-CN" w:bidi="ar-SA"/>
        </w:rPr>
        <w:t>法律责任</w:t>
      </w:r>
    </w:p>
    <w:p w14:paraId="57D0ACD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六十九</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违反本办法规定的应当依法给予处罚，处罚标 准按相关法律法规规定执行。</w:t>
      </w:r>
    </w:p>
    <w:p w14:paraId="60009438">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七十</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仿宋_GB2312" w:hAnsi="仿宋_GB2312" w:eastAsia="仿宋_GB2312" w:cs="仿宋_GB2312"/>
          <w:b w:val="0"/>
          <w:bCs w:val="0"/>
          <w:snapToGrid w:val="0"/>
          <w:kern w:val="0"/>
          <w:sz w:val="32"/>
          <w:szCs w:val="32"/>
          <w:lang w:val="en-US" w:eastAsia="zh-CN" w:bidi="ar-SA"/>
        </w:rPr>
        <w:t>未经审批擅自占用或挖掘城市道路，由</w:t>
      </w:r>
      <w:r>
        <w:rPr>
          <w:rFonts w:hint="eastAsia" w:cs="仿宋_GB2312"/>
          <w:snapToGrid w:val="0"/>
          <w:kern w:val="0"/>
          <w:sz w:val="32"/>
          <w:szCs w:val="32"/>
          <w:lang w:val="en-US" w:eastAsia="zh-CN" w:bidi="ar-SA"/>
        </w:rPr>
        <w:t>城市管理行政执法部门</w:t>
      </w:r>
      <w:r>
        <w:rPr>
          <w:rFonts w:hint="eastAsia" w:ascii="仿宋_GB2312" w:hAnsi="仿宋_GB2312" w:eastAsia="仿宋_GB2312" w:cs="仿宋_GB2312"/>
          <w:b w:val="0"/>
          <w:bCs w:val="0"/>
          <w:snapToGrid w:val="0"/>
          <w:kern w:val="0"/>
          <w:sz w:val="32"/>
          <w:szCs w:val="32"/>
          <w:lang w:val="en-US" w:eastAsia="zh-CN" w:bidi="ar-SA"/>
        </w:rPr>
        <w:t>或其他相关部门责令限期改正，</w:t>
      </w:r>
      <w:r>
        <w:rPr>
          <w:rFonts w:hint="eastAsia" w:ascii="仿宋_GB2312" w:hAnsi="仿宋_GB2312" w:cs="仿宋_GB2312"/>
          <w:b w:val="0"/>
          <w:bCs w:val="0"/>
          <w:snapToGrid w:val="0"/>
          <w:kern w:val="0"/>
          <w:sz w:val="32"/>
          <w:szCs w:val="32"/>
          <w:lang w:val="en-US" w:eastAsia="zh-CN" w:bidi="ar-SA"/>
        </w:rPr>
        <w:t>并依照《城市道路管理条例》依法处罚</w:t>
      </w:r>
      <w:r>
        <w:rPr>
          <w:rFonts w:hint="eastAsia" w:ascii="仿宋_GB2312" w:hAnsi="仿宋_GB2312" w:eastAsia="仿宋_GB2312" w:cs="仿宋_GB2312"/>
          <w:b w:val="0"/>
          <w:bCs w:val="0"/>
          <w:snapToGrid w:val="0"/>
          <w:kern w:val="0"/>
          <w:sz w:val="32"/>
          <w:szCs w:val="32"/>
          <w:lang w:val="en-US" w:eastAsia="zh-CN" w:bidi="ar-SA"/>
        </w:rPr>
        <w:t>；若施工造成道路损坏、交通拥堵损失及其他财产或人身损害的</w:t>
      </w:r>
      <w:r>
        <w:rPr>
          <w:rFonts w:hint="eastAsia" w:ascii="仿宋_GB2312" w:hAnsi="仿宋_GB2312" w:cs="仿宋_GB2312"/>
          <w:b w:val="0"/>
          <w:bCs w:val="0"/>
          <w:snapToGrid w:val="0"/>
          <w:kern w:val="0"/>
          <w:sz w:val="32"/>
          <w:szCs w:val="32"/>
          <w:lang w:val="en-US" w:eastAsia="zh-CN" w:bidi="ar-SA"/>
        </w:rPr>
        <w:t>，</w:t>
      </w:r>
      <w:r>
        <w:rPr>
          <w:rFonts w:hint="eastAsia" w:ascii="仿宋_GB2312" w:hAnsi="仿宋_GB2312" w:eastAsia="仿宋_GB2312" w:cs="仿宋_GB2312"/>
          <w:b w:val="0"/>
          <w:bCs w:val="0"/>
          <w:snapToGrid w:val="0"/>
          <w:kern w:val="0"/>
          <w:sz w:val="32"/>
          <w:szCs w:val="32"/>
          <w:lang w:val="en-US" w:eastAsia="zh-CN" w:bidi="ar-SA"/>
        </w:rPr>
        <w:t>违法主体需依法承担全额赔偿责任。</w:t>
      </w:r>
    </w:p>
    <w:p w14:paraId="4064605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七十一</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default" w:ascii="Times New Roman" w:hAnsi="Times New Roman" w:eastAsia="仿宋_GB2312" w:cs="仿宋_GB2312"/>
          <w:snapToGrid w:val="0"/>
          <w:kern w:val="0"/>
          <w:sz w:val="32"/>
          <w:szCs w:val="32"/>
          <w:lang w:val="en-US" w:eastAsia="zh-CN" w:bidi="ar-SA"/>
        </w:rPr>
        <w:t>未按</w:t>
      </w:r>
      <w:r>
        <w:rPr>
          <w:rFonts w:hint="eastAsia" w:cs="仿宋_GB2312"/>
          <w:snapToGrid w:val="0"/>
          <w:kern w:val="0"/>
          <w:sz w:val="32"/>
          <w:szCs w:val="32"/>
          <w:lang w:val="en-US" w:eastAsia="zh-CN" w:bidi="ar-SA"/>
        </w:rPr>
        <w:t>许可</w:t>
      </w:r>
      <w:r>
        <w:rPr>
          <w:rFonts w:hint="default" w:ascii="Times New Roman" w:hAnsi="Times New Roman" w:eastAsia="仿宋_GB2312" w:cs="仿宋_GB2312"/>
          <w:snapToGrid w:val="0"/>
          <w:kern w:val="0"/>
          <w:sz w:val="32"/>
          <w:szCs w:val="32"/>
          <w:lang w:val="en-US" w:eastAsia="zh-CN" w:bidi="ar-SA"/>
        </w:rPr>
        <w:t>要求开展占道挖掘作业</w:t>
      </w:r>
      <w:r>
        <w:rPr>
          <w:rFonts w:hint="eastAsia" w:cs="仿宋_GB2312"/>
          <w:snapToGrid w:val="0"/>
          <w:kern w:val="0"/>
          <w:sz w:val="32"/>
          <w:szCs w:val="32"/>
          <w:lang w:val="en-US" w:eastAsia="zh-CN" w:bidi="ar-SA"/>
        </w:rPr>
        <w:t>，</w:t>
      </w:r>
      <w:r>
        <w:rPr>
          <w:rFonts w:hint="eastAsia" w:ascii="Times New Roman" w:hAnsi="Times New Roman" w:eastAsia="仿宋_GB2312" w:cs="仿宋_GB2312"/>
          <w:snapToGrid w:val="0"/>
          <w:kern w:val="0"/>
          <w:sz w:val="32"/>
          <w:szCs w:val="32"/>
          <w:lang w:val="en-US" w:eastAsia="zh-CN" w:bidi="ar-SA"/>
        </w:rPr>
        <w:t>由</w:t>
      </w:r>
      <w:r>
        <w:rPr>
          <w:rFonts w:hint="eastAsia" w:cs="仿宋_GB2312"/>
          <w:snapToGrid w:val="0"/>
          <w:kern w:val="0"/>
          <w:sz w:val="32"/>
          <w:szCs w:val="32"/>
          <w:lang w:val="en-US" w:eastAsia="zh-CN" w:bidi="ar-SA"/>
        </w:rPr>
        <w:t>城市管理行政执法部门</w:t>
      </w:r>
      <w:r>
        <w:rPr>
          <w:rFonts w:hint="eastAsia" w:ascii="Times New Roman" w:hAnsi="Times New Roman" w:eastAsia="仿宋_GB2312" w:cs="仿宋_GB2312"/>
          <w:snapToGrid w:val="0"/>
          <w:kern w:val="0"/>
          <w:sz w:val="32"/>
          <w:szCs w:val="32"/>
          <w:lang w:val="en-US" w:eastAsia="zh-CN" w:bidi="ar-SA"/>
        </w:rPr>
        <w:t>或其他相关部门</w:t>
      </w:r>
      <w:r>
        <w:rPr>
          <w:rFonts w:hint="eastAsia" w:cs="仿宋_GB2312"/>
          <w:snapToGrid w:val="0"/>
          <w:kern w:val="0"/>
          <w:sz w:val="32"/>
          <w:szCs w:val="32"/>
          <w:lang w:val="en-US" w:eastAsia="zh-CN" w:bidi="ar-SA"/>
        </w:rPr>
        <w:t>责令限期整改，可</w:t>
      </w:r>
      <w:r>
        <w:rPr>
          <w:rFonts w:hint="eastAsia" w:ascii="仿宋_GB2312" w:hAnsi="仿宋_GB2312" w:cs="仿宋_GB2312"/>
          <w:b w:val="0"/>
          <w:bCs w:val="0"/>
          <w:snapToGrid w:val="0"/>
          <w:kern w:val="0"/>
          <w:sz w:val="32"/>
          <w:szCs w:val="32"/>
          <w:lang w:val="en-US" w:eastAsia="zh-CN" w:bidi="ar-SA"/>
        </w:rPr>
        <w:t>依照《城市道路管理条例》依法处罚</w:t>
      </w:r>
      <w:r>
        <w:rPr>
          <w:rFonts w:hint="eastAsia" w:cs="仿宋_GB2312"/>
          <w:snapToGrid w:val="0"/>
          <w:kern w:val="0"/>
          <w:sz w:val="32"/>
          <w:szCs w:val="32"/>
          <w:lang w:val="en-US" w:eastAsia="zh-CN" w:bidi="ar-SA"/>
        </w:rPr>
        <w:t>；若因违规扩大作业范围、延长工期导致额外道路设施损坏或通行损失的，需承担相应赔偿责任。</w:t>
      </w:r>
    </w:p>
    <w:p w14:paraId="1E962E6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cs="仿宋_GB2312"/>
          <w:b w:val="0"/>
          <w:bCs w:val="0"/>
          <w:snapToGrid w:val="0"/>
          <w:kern w:val="0"/>
          <w:sz w:val="32"/>
          <w:szCs w:val="32"/>
          <w:lang w:val="en-US" w:eastAsia="zh-CN" w:bidi="ar-SA"/>
        </w:rPr>
      </w:pPr>
      <w:r>
        <w:rPr>
          <w:rFonts w:hint="eastAsia" w:cs="仿宋_GB2312"/>
          <w:b/>
          <w:bCs/>
          <w:snapToGrid w:val="0"/>
          <w:kern w:val="0"/>
          <w:sz w:val="32"/>
          <w:szCs w:val="32"/>
          <w:lang w:val="en-US" w:eastAsia="zh-CN" w:bidi="ar-SA"/>
        </w:rPr>
        <w:t xml:space="preserve">第七十二条  </w:t>
      </w:r>
      <w:r>
        <w:rPr>
          <w:rFonts w:hint="default" w:ascii="Times New Roman" w:hAnsi="Times New Roman" w:eastAsia="仿宋_GB2312" w:cs="仿宋_GB2312"/>
          <w:b w:val="0"/>
          <w:bCs w:val="0"/>
          <w:snapToGrid w:val="0"/>
          <w:kern w:val="0"/>
          <w:sz w:val="32"/>
          <w:szCs w:val="32"/>
          <w:lang w:val="en-US" w:eastAsia="zh-CN" w:bidi="ar-SA"/>
        </w:rPr>
        <w:t>施工及工后未履行规范管理义务</w:t>
      </w:r>
      <w:r>
        <w:rPr>
          <w:rFonts w:hint="eastAsia" w:cs="仿宋_GB2312"/>
          <w:b w:val="0"/>
          <w:bCs w:val="0"/>
          <w:snapToGrid w:val="0"/>
          <w:kern w:val="0"/>
          <w:sz w:val="32"/>
          <w:szCs w:val="32"/>
          <w:lang w:val="en-US" w:eastAsia="zh-CN" w:bidi="ar-SA"/>
        </w:rPr>
        <w:t>，由相关主管部门责令限期改正，可依照《城市道路管理条例》依法处罚；若因现场防护缺失造成行人、车辆损伤，或因未清理现场、未修复设施引发二次事故的，需承担相应赔偿责任。</w:t>
      </w:r>
    </w:p>
    <w:p w14:paraId="2AD50A6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cs="仿宋_GB2312"/>
          <w:snapToGrid w:val="0"/>
          <w:kern w:val="0"/>
          <w:sz w:val="32"/>
          <w:szCs w:val="32"/>
          <w:lang w:val="en-US" w:eastAsia="zh-CN" w:bidi="ar-SA"/>
        </w:rPr>
      </w:pPr>
      <w:r>
        <w:rPr>
          <w:rFonts w:hint="eastAsia" w:cs="仿宋_GB2312"/>
          <w:b/>
          <w:bCs/>
          <w:snapToGrid w:val="0"/>
          <w:kern w:val="0"/>
          <w:sz w:val="32"/>
          <w:szCs w:val="32"/>
          <w:lang w:val="en-US" w:eastAsia="zh-CN" w:bidi="ar-SA"/>
        </w:rPr>
        <w:t xml:space="preserve">第七十三条  </w:t>
      </w:r>
      <w:r>
        <w:rPr>
          <w:rFonts w:hint="default" w:ascii="Times New Roman" w:hAnsi="Times New Roman" w:eastAsia="仿宋_GB2312" w:cs="仿宋_GB2312"/>
          <w:snapToGrid w:val="0"/>
          <w:kern w:val="0"/>
          <w:sz w:val="32"/>
          <w:szCs w:val="32"/>
          <w:lang w:val="en-US" w:eastAsia="zh-CN" w:bidi="ar-SA"/>
        </w:rPr>
        <w:t>违规依附道路建设相关设施</w:t>
      </w:r>
      <w:r>
        <w:rPr>
          <w:rFonts w:hint="eastAsia" w:cs="仿宋_GB2312"/>
          <w:snapToGrid w:val="0"/>
          <w:kern w:val="0"/>
          <w:sz w:val="32"/>
          <w:szCs w:val="32"/>
          <w:lang w:val="en-US" w:eastAsia="zh-CN" w:bidi="ar-SA"/>
        </w:rPr>
        <w:t>，</w:t>
      </w:r>
      <w:r>
        <w:rPr>
          <w:rFonts w:hint="eastAsia" w:ascii="Times New Roman" w:hAnsi="Times New Roman" w:eastAsia="仿宋_GB2312" w:cs="仿宋_GB2312"/>
          <w:snapToGrid w:val="0"/>
          <w:kern w:val="0"/>
          <w:sz w:val="32"/>
          <w:szCs w:val="32"/>
          <w:lang w:val="en-US" w:eastAsia="zh-CN" w:bidi="ar-SA"/>
        </w:rPr>
        <w:t>由</w:t>
      </w:r>
      <w:r>
        <w:rPr>
          <w:rFonts w:hint="eastAsia" w:cs="仿宋_GB2312"/>
          <w:snapToGrid w:val="0"/>
          <w:kern w:val="0"/>
          <w:sz w:val="32"/>
          <w:szCs w:val="32"/>
          <w:lang w:val="en-US" w:eastAsia="zh-CN" w:bidi="ar-SA"/>
        </w:rPr>
        <w:t>城市管理行政执法部门责令限期补办手续并整改，可</w:t>
      </w:r>
      <w:r>
        <w:rPr>
          <w:rFonts w:hint="eastAsia" w:cs="仿宋_GB2312"/>
          <w:b w:val="0"/>
          <w:bCs w:val="0"/>
          <w:snapToGrid w:val="0"/>
          <w:kern w:val="0"/>
          <w:sz w:val="32"/>
          <w:szCs w:val="32"/>
          <w:lang w:val="en-US" w:eastAsia="zh-CN" w:bidi="ar-SA"/>
        </w:rPr>
        <w:t>依照《城市道路管理条例》依法处罚</w:t>
      </w:r>
      <w:r>
        <w:rPr>
          <w:rFonts w:hint="eastAsia" w:cs="仿宋_GB2312"/>
          <w:snapToGrid w:val="0"/>
          <w:kern w:val="0"/>
          <w:sz w:val="32"/>
          <w:szCs w:val="32"/>
          <w:lang w:val="en-US" w:eastAsia="zh-CN" w:bidi="ar-SA"/>
        </w:rPr>
        <w:t>；若设施建设及配套挖掘行为损害道路结构的，需承担道路修复费用及其他相关损失赔偿。</w:t>
      </w:r>
    </w:p>
    <w:p w14:paraId="4CAA7FE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七十四</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 xml:space="preserve">城市道路挖掘、修复施工单位违反安全文明施工和在施工过程中未按施工技术标准施工的，由相关主管部门责令限期改正；逾期不改正的，按照安全文明施工和工程质量管理的相关规定予以处罚。 </w:t>
      </w:r>
    </w:p>
    <w:p w14:paraId="235A0C2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七十五</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eastAsia" w:ascii="仿宋_GB2312" w:hAnsi="仿宋_GB2312" w:eastAsia="仿宋_GB2312" w:cs="仿宋_GB2312"/>
          <w:b w:val="0"/>
          <w:bCs w:val="0"/>
          <w:snapToGrid w:val="0"/>
          <w:kern w:val="0"/>
          <w:sz w:val="32"/>
          <w:szCs w:val="32"/>
          <w:lang w:val="en-US" w:eastAsia="zh-CN" w:bidi="ar-SA"/>
        </w:rPr>
        <w:t>未经批准擅自临时占用城市绿地的，由城市管理行政执法部门责令限期退还、恢复原状，并</w:t>
      </w:r>
      <w:r>
        <w:rPr>
          <w:rFonts w:hint="eastAsia" w:ascii="仿宋_GB2312" w:hAnsi="仿宋_GB2312" w:cs="仿宋_GB2312"/>
          <w:b w:val="0"/>
          <w:bCs w:val="0"/>
          <w:snapToGrid w:val="0"/>
          <w:kern w:val="0"/>
          <w:sz w:val="32"/>
          <w:szCs w:val="32"/>
          <w:lang w:val="en-US" w:eastAsia="zh-CN" w:bidi="ar-SA"/>
        </w:rPr>
        <w:t>依照</w:t>
      </w:r>
      <w:r>
        <w:rPr>
          <w:rFonts w:hint="eastAsia" w:ascii="仿宋_GB2312" w:hAnsi="仿宋_GB2312" w:eastAsia="仿宋_GB2312" w:cs="仿宋_GB2312"/>
          <w:b w:val="0"/>
          <w:bCs w:val="0"/>
          <w:snapToGrid w:val="0"/>
          <w:kern w:val="0"/>
          <w:sz w:val="32"/>
          <w:szCs w:val="32"/>
          <w:lang w:val="en-US" w:eastAsia="zh-CN" w:bidi="ar-SA"/>
        </w:rPr>
        <w:t>《新疆维吾尔自治区实施〈城市绿化条例〉办法》处以罚款：</w:t>
      </w:r>
    </w:p>
    <w:p w14:paraId="4AB9E987">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（一）</w:t>
      </w:r>
      <w:r>
        <w:rPr>
          <w:rFonts w:hint="eastAsia" w:ascii="仿宋_GB2312" w:hAnsi="仿宋_GB2312" w:eastAsia="仿宋_GB2312" w:cs="仿宋_GB2312"/>
          <w:b w:val="0"/>
          <w:bCs w:val="0"/>
          <w:snapToGrid w:val="0"/>
          <w:kern w:val="0"/>
          <w:sz w:val="32"/>
          <w:szCs w:val="32"/>
          <w:lang w:val="en-US" w:eastAsia="zh-CN" w:bidi="ar-SA"/>
        </w:rPr>
        <w:t>非经营活动的，对个人处200元以下罚款，对单位处1000元以下罚款；</w:t>
      </w:r>
    </w:p>
    <w:p w14:paraId="0CFAB4F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仿宋_GB2312" w:hAnsi="仿宋_GB2312" w:cs="仿宋_GB2312"/>
          <w:b w:val="0"/>
          <w:bCs w:val="0"/>
          <w:snapToGrid w:val="0"/>
          <w:kern w:val="0"/>
          <w:sz w:val="32"/>
          <w:szCs w:val="32"/>
          <w:lang w:val="en-US" w:eastAsia="zh-CN" w:bidi="ar-SA"/>
        </w:rPr>
        <w:t>（二）</w:t>
      </w:r>
      <w:r>
        <w:rPr>
          <w:rFonts w:hint="eastAsia" w:ascii="仿宋_GB2312" w:hAnsi="仿宋_GB2312" w:eastAsia="仿宋_GB2312" w:cs="仿宋_GB2312"/>
          <w:b w:val="0"/>
          <w:bCs w:val="0"/>
          <w:snapToGrid w:val="0"/>
          <w:kern w:val="0"/>
          <w:sz w:val="32"/>
          <w:szCs w:val="32"/>
          <w:lang w:val="en-US" w:eastAsia="zh-CN" w:bidi="ar-SA"/>
        </w:rPr>
        <w:t>经营活动有违法所得的，处违法所得3倍以下罚款（最高不超过3万元）；无违法所得的，处1万元以下罚款；造成损失的，依法承担赔偿责任。</w:t>
      </w:r>
    </w:p>
    <w:p w14:paraId="22AC010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七十六</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eastAsia" w:ascii="仿宋_GB2312" w:hAnsi="仿宋_GB2312" w:eastAsia="仿宋_GB2312" w:cs="仿宋_GB2312"/>
          <w:b w:val="0"/>
          <w:bCs w:val="0"/>
          <w:snapToGrid w:val="0"/>
          <w:kern w:val="0"/>
          <w:sz w:val="32"/>
          <w:szCs w:val="32"/>
          <w:lang w:val="en-US" w:eastAsia="zh-CN" w:bidi="ar-SA"/>
        </w:rPr>
        <w:t>超出批准范围占用绿地、改变占用用途，或损坏绿地设施、树木花草的，</w:t>
      </w:r>
      <w:r>
        <w:rPr>
          <w:rFonts w:hint="eastAsia" w:ascii="仿宋_GB2312" w:hAnsi="仿宋_GB2312" w:cs="仿宋_GB2312"/>
          <w:b w:val="0"/>
          <w:bCs w:val="0"/>
          <w:snapToGrid w:val="0"/>
          <w:kern w:val="0"/>
          <w:sz w:val="32"/>
          <w:szCs w:val="32"/>
          <w:lang w:val="en-US" w:eastAsia="zh-CN" w:bidi="ar-SA"/>
        </w:rPr>
        <w:t>依照</w:t>
      </w:r>
      <w:r>
        <w:rPr>
          <w:rFonts w:hint="eastAsia" w:ascii="仿宋_GB2312" w:hAnsi="仿宋_GB2312" w:eastAsia="仿宋_GB2312" w:cs="仿宋_GB2312"/>
          <w:b w:val="0"/>
          <w:bCs w:val="0"/>
          <w:snapToGrid w:val="0"/>
          <w:kern w:val="0"/>
          <w:sz w:val="32"/>
          <w:szCs w:val="32"/>
          <w:lang w:val="en-US" w:eastAsia="zh-CN" w:bidi="ar-SA"/>
        </w:rPr>
        <w:t>《新疆维吾尔自治区实施〈城市绿化条例〉办法》处损失金额1-3倍罚款；属经营活动的，有违法所得的处违法所得3倍以下罚款（最高不超过3万元），无违法所得的处1万元以下罚款</w:t>
      </w:r>
      <w:r>
        <w:rPr>
          <w:rFonts w:hint="eastAsia" w:ascii="仿宋_GB2312" w:hAnsi="仿宋_GB2312" w:cs="仿宋_GB2312"/>
          <w:b w:val="0"/>
          <w:bCs w:val="0"/>
          <w:snapToGrid w:val="0"/>
          <w:kern w:val="0"/>
          <w:sz w:val="32"/>
          <w:szCs w:val="32"/>
          <w:lang w:val="en-US" w:eastAsia="zh-CN" w:bidi="ar-SA"/>
        </w:rPr>
        <w:t>。</w:t>
      </w:r>
    </w:p>
    <w:p w14:paraId="1208225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七十七</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eastAsia" w:ascii="仿宋_GB2312" w:hAnsi="仿宋_GB2312" w:eastAsia="仿宋_GB2312" w:cs="仿宋_GB2312"/>
          <w:b w:val="0"/>
          <w:bCs w:val="0"/>
          <w:snapToGrid w:val="0"/>
          <w:kern w:val="0"/>
          <w:sz w:val="32"/>
          <w:szCs w:val="32"/>
          <w:lang w:val="en-US" w:eastAsia="zh-CN" w:bidi="ar-SA"/>
        </w:rPr>
        <w:t>临时占用期满未按时恢复绿化，或恢复验收不合格逾期未整改的，责令限期恢复，并</w:t>
      </w:r>
      <w:r>
        <w:rPr>
          <w:rFonts w:hint="eastAsia" w:ascii="仿宋_GB2312" w:hAnsi="仿宋_GB2312" w:cs="仿宋_GB2312"/>
          <w:b w:val="0"/>
          <w:bCs w:val="0"/>
          <w:snapToGrid w:val="0"/>
          <w:kern w:val="0"/>
          <w:sz w:val="32"/>
          <w:szCs w:val="32"/>
          <w:lang w:val="en-US" w:eastAsia="zh-CN" w:bidi="ar-SA"/>
        </w:rPr>
        <w:t>依照</w:t>
      </w:r>
      <w:r>
        <w:rPr>
          <w:rFonts w:hint="eastAsia" w:ascii="仿宋_GB2312" w:hAnsi="仿宋_GB2312" w:eastAsia="仿宋_GB2312" w:cs="仿宋_GB2312"/>
          <w:b w:val="0"/>
          <w:bCs w:val="0"/>
          <w:snapToGrid w:val="0"/>
          <w:kern w:val="0"/>
          <w:sz w:val="32"/>
          <w:szCs w:val="32"/>
          <w:lang w:val="en-US" w:eastAsia="zh-CN" w:bidi="ar-SA"/>
        </w:rPr>
        <w:t>《新疆维吾尔自治区实施〈城市绿化条例〉办法》处以罚款；逾期不恢复的，代为恢复，费用由申请人承担</w:t>
      </w:r>
      <w:r>
        <w:rPr>
          <w:rFonts w:hint="eastAsia" w:ascii="仿宋_GB2312" w:hAnsi="仿宋_GB2312" w:cs="仿宋_GB2312"/>
          <w:b w:val="0"/>
          <w:bCs w:val="0"/>
          <w:snapToGrid w:val="0"/>
          <w:kern w:val="0"/>
          <w:sz w:val="32"/>
          <w:szCs w:val="32"/>
          <w:lang w:val="en-US" w:eastAsia="zh-CN" w:bidi="ar-SA"/>
        </w:rPr>
        <w:t>。</w:t>
      </w:r>
    </w:p>
    <w:p w14:paraId="53642E78">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七十八</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eastAsia" w:ascii="仿宋_GB2312" w:hAnsi="仿宋_GB2312" w:eastAsia="仿宋_GB2312" w:cs="仿宋_GB2312"/>
          <w:b w:val="0"/>
          <w:bCs w:val="0"/>
          <w:snapToGrid w:val="0"/>
          <w:kern w:val="0"/>
          <w:sz w:val="32"/>
          <w:szCs w:val="32"/>
          <w:lang w:val="en-US" w:eastAsia="zh-CN" w:bidi="ar-SA"/>
        </w:rPr>
        <w:t>施工中未按标准铺设管线，或未落实安全防护措施造成设施损坏的，自行承担损失，并处相应赔偿罚款；</w:t>
      </w:r>
    </w:p>
    <w:p w14:paraId="6D22808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仿宋_GB2312" w:hAnsi="仿宋_GB2312" w:eastAsia="仿宋_GB2312" w:cs="仿宋_GB2312"/>
          <w:b w:val="0"/>
          <w:bCs w:val="0"/>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七十九</w:t>
      </w:r>
      <w:r>
        <w:rPr>
          <w:rFonts w:hint="eastAsia" w:ascii="Times New Roman" w:hAnsi="Times New Roman" w:eastAsia="仿宋_GB2312" w:cs="仿宋_GB2312"/>
          <w:b/>
          <w:bCs/>
          <w:snapToGrid w:val="0"/>
          <w:kern w:val="0"/>
          <w:sz w:val="32"/>
          <w:szCs w:val="32"/>
          <w:lang w:val="en-US" w:eastAsia="zh-CN" w:bidi="ar-SA"/>
        </w:rPr>
        <w:t>条</w:t>
      </w:r>
      <w:r>
        <w:rPr>
          <w:rFonts w:hint="eastAsia" w:cs="仿宋_GB2312"/>
          <w:b/>
          <w:bCs/>
          <w:snapToGrid w:val="0"/>
          <w:kern w:val="0"/>
          <w:sz w:val="32"/>
          <w:szCs w:val="32"/>
          <w:lang w:val="en-US" w:eastAsia="zh-CN" w:bidi="ar-SA"/>
        </w:rPr>
        <w:t xml:space="preserve">  </w:t>
      </w:r>
      <w:r>
        <w:rPr>
          <w:rFonts w:hint="eastAsia" w:ascii="仿宋_GB2312" w:hAnsi="仿宋_GB2312" w:eastAsia="仿宋_GB2312" w:cs="仿宋_GB2312"/>
          <w:b w:val="0"/>
          <w:bCs w:val="0"/>
          <w:snapToGrid w:val="0"/>
          <w:kern w:val="0"/>
          <w:sz w:val="32"/>
          <w:szCs w:val="32"/>
          <w:lang w:val="en-US" w:eastAsia="zh-CN" w:bidi="ar-SA"/>
        </w:rPr>
        <w:t>围挡设置不符合要求、围而不建或建成不拆的，责令限期整改，逾期未整改的</w:t>
      </w:r>
      <w:r>
        <w:rPr>
          <w:rFonts w:hint="eastAsia" w:ascii="仿宋_GB2312" w:hAnsi="仿宋_GB2312" w:cs="仿宋_GB2312"/>
          <w:b w:val="0"/>
          <w:bCs w:val="0"/>
          <w:snapToGrid w:val="0"/>
          <w:kern w:val="0"/>
          <w:sz w:val="32"/>
          <w:szCs w:val="32"/>
          <w:lang w:val="en-US" w:eastAsia="zh-CN" w:bidi="ar-SA"/>
        </w:rPr>
        <w:t>可依照</w:t>
      </w:r>
      <w:r>
        <w:rPr>
          <w:rFonts w:hint="eastAsia" w:ascii="仿宋_GB2312" w:hAnsi="仿宋_GB2312" w:eastAsia="仿宋_GB2312" w:cs="仿宋_GB2312"/>
          <w:b w:val="0"/>
          <w:bCs w:val="0"/>
          <w:snapToGrid w:val="0"/>
          <w:kern w:val="0"/>
          <w:sz w:val="32"/>
          <w:szCs w:val="32"/>
          <w:lang w:val="en-US" w:eastAsia="zh-CN" w:bidi="ar-SA"/>
        </w:rPr>
        <w:t>《新疆维吾尔自治区实施〈城市市容和环境卫生管理条例〉行政处罚办法》处</w:t>
      </w:r>
      <w:r>
        <w:rPr>
          <w:rFonts w:hint="eastAsia" w:ascii="仿宋_GB2312" w:hAnsi="仿宋_GB2312" w:cs="仿宋_GB2312"/>
          <w:b w:val="0"/>
          <w:bCs w:val="0"/>
          <w:snapToGrid w:val="0"/>
          <w:kern w:val="0"/>
          <w:sz w:val="32"/>
          <w:szCs w:val="32"/>
          <w:lang w:val="en-US" w:eastAsia="zh-CN" w:bidi="ar-SA"/>
        </w:rPr>
        <w:t>以</w:t>
      </w:r>
      <w:r>
        <w:rPr>
          <w:rFonts w:hint="eastAsia" w:ascii="仿宋_GB2312" w:hAnsi="仿宋_GB2312" w:eastAsia="仿宋_GB2312" w:cs="仿宋_GB2312"/>
          <w:b w:val="0"/>
          <w:bCs w:val="0"/>
          <w:snapToGrid w:val="0"/>
          <w:kern w:val="0"/>
          <w:sz w:val="32"/>
          <w:szCs w:val="32"/>
          <w:lang w:val="en-US" w:eastAsia="zh-CN" w:bidi="ar-SA"/>
        </w:rPr>
        <w:t>罚款。</w:t>
      </w:r>
    </w:p>
    <w:p w14:paraId="0BB2302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b/>
          <w:bCs/>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八十</w:t>
      </w:r>
      <w:r>
        <w:rPr>
          <w:rFonts w:hint="eastAsia" w:ascii="Times New Roman" w:hAnsi="Times New Roman" w:eastAsia="仿宋_GB2312" w:cs="仿宋_GB2312"/>
          <w:b/>
          <w:bCs/>
          <w:snapToGrid w:val="0"/>
          <w:kern w:val="0"/>
          <w:sz w:val="32"/>
          <w:szCs w:val="32"/>
          <w:lang w:val="en-US" w:eastAsia="zh-CN" w:bidi="ar-SA"/>
        </w:rPr>
        <w:t>条</w:t>
      </w:r>
      <w:r>
        <w:rPr>
          <w:rFonts w:hint="eastAsia" w:ascii="仿宋_GB2312" w:hAnsi="仿宋_GB2312" w:eastAsia="仿宋_GB2312" w:cs="仿宋_GB2312"/>
          <w:b w:val="0"/>
          <w:bCs w:val="0"/>
          <w:snapToGrid w:val="0"/>
          <w:kern w:val="0"/>
          <w:sz w:val="32"/>
          <w:szCs w:val="32"/>
          <w:lang w:val="en-US" w:eastAsia="zh-CN" w:bidi="ar-SA"/>
        </w:rPr>
        <w:t>　砍伐、擅自迁移古树名木，或因养护不善导致古树名木损伤、死亡的，责令停止侵害、补植同类树木，并处相应罚款；造成严重后果的，依法追究刑事责任。</w:t>
      </w:r>
    </w:p>
    <w:p w14:paraId="5C578EA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八十一</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snapToGrid w:val="0"/>
          <w:kern w:val="0"/>
          <w:sz w:val="32"/>
          <w:szCs w:val="32"/>
          <w:lang w:val="en-US" w:eastAsia="zh-CN" w:bidi="ar-SA"/>
        </w:rPr>
        <w:t>国家机关工作人员在城市道路</w:t>
      </w:r>
      <w:r>
        <w:rPr>
          <w:rFonts w:hint="eastAsia" w:cs="仿宋_GB2312"/>
          <w:snapToGrid w:val="0"/>
          <w:kern w:val="0"/>
          <w:sz w:val="32"/>
          <w:szCs w:val="32"/>
          <w:lang w:val="en-US" w:eastAsia="zh-CN" w:bidi="ar-SA"/>
        </w:rPr>
        <w:t>、绿地</w:t>
      </w:r>
      <w:r>
        <w:rPr>
          <w:rFonts w:hint="eastAsia" w:ascii="Times New Roman" w:hAnsi="Times New Roman" w:eastAsia="仿宋_GB2312" w:cs="仿宋_GB2312"/>
          <w:snapToGrid w:val="0"/>
          <w:kern w:val="0"/>
          <w:sz w:val="32"/>
          <w:szCs w:val="32"/>
          <w:lang w:val="en-US" w:eastAsia="zh-CN" w:bidi="ar-SA"/>
        </w:rPr>
        <w:t>挖掘修复管理工作中，滥用职权、玩忽职守、徇私舞弊的，由有关部门依法给予行政处分；构成犯罪的，依法追究刑事责任。</w:t>
      </w:r>
    </w:p>
    <w:p w14:paraId="6C8A8C4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八十二</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b w:val="0"/>
          <w:bCs w:val="0"/>
          <w:snapToGrid w:val="0"/>
          <w:kern w:val="0"/>
          <w:sz w:val="32"/>
          <w:szCs w:val="32"/>
          <w:lang w:val="en-US" w:eastAsia="zh-CN" w:bidi="ar-SA"/>
        </w:rPr>
        <w:t>情节严重或构成犯罪的特殊情形，由司法机关依法追究刑事责任；未构成犯罪的，依照《中华人民共和国治安管理处罚法》给予相应处罚，同时需承担事故造成的全部经济损失和后续整改费用。</w:t>
      </w:r>
    </w:p>
    <w:p w14:paraId="10C2F058">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rPr>
          <w:rFonts w:hint="default" w:ascii="Times New Roman" w:hAnsi="Times New Roman" w:eastAsia="仿宋_GB2312" w:cs="仿宋_GB2312"/>
          <w:b/>
          <w:bCs/>
          <w:snapToGrid w:val="0"/>
          <w:kern w:val="0"/>
          <w:lang w:val="en-US" w:eastAsia="zh-CN"/>
        </w:rPr>
      </w:pPr>
      <w:r>
        <w:rPr>
          <w:rFonts w:hint="default" w:ascii="Times New Roman" w:hAnsi="Times New Roman" w:eastAsia="仿宋_GB2312" w:cs="仿宋_GB2312"/>
          <w:b/>
          <w:bCs/>
          <w:snapToGrid w:val="0"/>
          <w:kern w:val="0"/>
          <w:lang w:val="en-US" w:eastAsia="zh-CN"/>
        </w:rPr>
        <w:t>​</w:t>
      </w:r>
    </w:p>
    <w:p w14:paraId="63C4DA1D">
      <w:pPr>
        <w:pStyle w:val="5"/>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60" w:lineRule="exact"/>
        <w:jc w:val="center"/>
        <w:textAlignment w:val="baseline"/>
        <w:rPr>
          <w:rFonts w:hint="default" w:ascii="Times New Roman" w:hAnsi="Times New Roman" w:eastAsia="黑体" w:cs="黑体"/>
          <w:b w:val="0"/>
          <w:bCs w:val="0"/>
          <w:snapToGrid w:val="0"/>
          <w:kern w:val="0"/>
          <w:sz w:val="32"/>
          <w:szCs w:val="32"/>
          <w:lang w:val="en-US" w:eastAsia="zh-CN" w:bidi="ar-SA"/>
        </w:rPr>
      </w:pPr>
      <w:r>
        <w:rPr>
          <w:rFonts w:hint="default" w:ascii="Times New Roman" w:hAnsi="Times New Roman" w:eastAsia="黑体" w:cs="黑体"/>
          <w:b w:val="0"/>
          <w:bCs w:val="0"/>
          <w:snapToGrid w:val="0"/>
          <w:kern w:val="0"/>
          <w:sz w:val="32"/>
          <w:szCs w:val="32"/>
          <w:lang w:val="en-US" w:eastAsia="zh-CN" w:bidi="ar-SA"/>
        </w:rPr>
        <w:t>第</w:t>
      </w:r>
      <w:r>
        <w:rPr>
          <w:rFonts w:hint="eastAsia" w:ascii="Times New Roman" w:hAnsi="Times New Roman" w:eastAsia="黑体" w:cs="黑体"/>
          <w:b w:val="0"/>
          <w:bCs w:val="0"/>
          <w:snapToGrid w:val="0"/>
          <w:kern w:val="0"/>
          <w:sz w:val="32"/>
          <w:szCs w:val="32"/>
          <w:lang w:val="en-US" w:eastAsia="zh-CN" w:bidi="ar-SA"/>
        </w:rPr>
        <w:t>十一</w:t>
      </w:r>
      <w:r>
        <w:rPr>
          <w:rFonts w:hint="default" w:ascii="Times New Roman" w:hAnsi="Times New Roman" w:eastAsia="黑体" w:cs="黑体"/>
          <w:b w:val="0"/>
          <w:bCs w:val="0"/>
          <w:snapToGrid w:val="0"/>
          <w:kern w:val="0"/>
          <w:sz w:val="32"/>
          <w:szCs w:val="32"/>
          <w:lang w:val="en-US" w:eastAsia="zh-CN" w:bidi="ar-SA"/>
        </w:rPr>
        <w:t>章 附则​</w:t>
      </w:r>
    </w:p>
    <w:p w14:paraId="5772A52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eastAsia" w:ascii="Times New Roman" w:hAnsi="Times New Roman" w:eastAsia="仿宋_GB2312" w:cs="仿宋_GB2312"/>
          <w:b w:val="0"/>
          <w:bCs w:val="0"/>
          <w:snapToGrid w:val="0"/>
          <w:kern w:val="0"/>
          <w:sz w:val="32"/>
          <w:szCs w:val="32"/>
          <w:lang w:val="en-US" w:eastAsia="zh-CN" w:bidi="ar-SA"/>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八十三</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b w:val="0"/>
          <w:bCs w:val="0"/>
          <w:snapToGrid w:val="0"/>
          <w:kern w:val="0"/>
          <w:sz w:val="32"/>
          <w:szCs w:val="32"/>
          <w:lang w:val="en-US" w:eastAsia="zh-CN" w:bidi="ar-SA"/>
        </w:rPr>
        <w:t>附件：</w:t>
      </w:r>
    </w:p>
    <w:p w14:paraId="02CB73AE">
      <w:pPr>
        <w:keepNext w:val="0"/>
        <w:keepLines w:val="0"/>
        <w:pageBreakBefore w:val="0"/>
        <w:widowControl w:val="0"/>
        <w:tabs>
          <w:tab w:val="left" w:pos="1560"/>
        </w:tabs>
        <w:kinsoku/>
        <w:wordWrap/>
        <w:overflowPunct w:val="0"/>
        <w:topLinePunct w:val="0"/>
        <w:autoSpaceDE/>
        <w:autoSpaceDN/>
        <w:bidi w:val="0"/>
        <w:adjustRightInd w:val="0"/>
        <w:snapToGrid w:val="0"/>
        <w:spacing w:line="560" w:lineRule="exact"/>
        <w:ind w:left="1580" w:leftChars="200" w:hanging="948" w:hangingChars="300"/>
        <w:rPr>
          <w:rFonts w:hint="eastAsia" w:cs="仿宋_GB2312"/>
          <w:snapToGrid w:val="0"/>
          <w:kern w:val="0"/>
          <w:sz w:val="32"/>
          <w:lang w:eastAsia="zh-CN"/>
        </w:rPr>
      </w:pPr>
      <w:r>
        <w:rPr>
          <w:rFonts w:hint="eastAsia" w:cs="仿宋_GB2312"/>
          <w:snapToGrid w:val="0"/>
          <w:kern w:val="0"/>
          <w:sz w:val="32"/>
          <w:lang w:eastAsia="zh-CN"/>
        </w:rPr>
        <w:t>（</w:t>
      </w:r>
      <w:r>
        <w:rPr>
          <w:rFonts w:hint="eastAsia" w:cs="仿宋_GB2312"/>
          <w:snapToGrid w:val="0"/>
          <w:kern w:val="0"/>
          <w:sz w:val="32"/>
          <w:lang w:val="en-US" w:eastAsia="zh-CN"/>
        </w:rPr>
        <w:t>一</w:t>
      </w:r>
      <w:r>
        <w:rPr>
          <w:rFonts w:hint="eastAsia" w:cs="仿宋_GB2312"/>
          <w:snapToGrid w:val="0"/>
          <w:kern w:val="0"/>
          <w:sz w:val="32"/>
          <w:lang w:eastAsia="zh-CN"/>
        </w:rPr>
        <w:t>）《第一师阿拉尔市</w:t>
      </w:r>
      <w:r>
        <w:rPr>
          <w:rFonts w:hint="eastAsia" w:cs="仿宋_GB2312"/>
          <w:snapToGrid w:val="0"/>
          <w:kern w:val="0"/>
          <w:sz w:val="32"/>
          <w:lang w:val="en-US" w:eastAsia="zh-CN"/>
        </w:rPr>
        <w:t>城市</w:t>
      </w:r>
      <w:r>
        <w:rPr>
          <w:rFonts w:hint="eastAsia" w:cs="仿宋_GB2312"/>
          <w:snapToGrid w:val="0"/>
          <w:kern w:val="0"/>
          <w:sz w:val="32"/>
          <w:lang w:eastAsia="zh-CN"/>
        </w:rPr>
        <w:t>道路、</w:t>
      </w:r>
      <w:r>
        <w:rPr>
          <w:rFonts w:hint="eastAsia" w:cs="仿宋_GB2312"/>
          <w:snapToGrid w:val="0"/>
          <w:kern w:val="0"/>
          <w:sz w:val="32"/>
          <w:lang w:val="en-US" w:eastAsia="zh-CN"/>
        </w:rPr>
        <w:t>绿地</w:t>
      </w:r>
      <w:r>
        <w:rPr>
          <w:rFonts w:hint="eastAsia" w:cs="仿宋_GB2312"/>
          <w:snapToGrid w:val="0"/>
          <w:kern w:val="0"/>
          <w:sz w:val="32"/>
          <w:lang w:eastAsia="zh-CN"/>
        </w:rPr>
        <w:t>占用挖掘</w:t>
      </w:r>
      <w:r>
        <w:rPr>
          <w:rFonts w:hint="eastAsia" w:cs="仿宋_GB2312"/>
          <w:snapToGrid w:val="0"/>
          <w:kern w:val="0"/>
          <w:sz w:val="32"/>
          <w:lang w:val="en-US" w:eastAsia="zh-CN"/>
        </w:rPr>
        <w:t>和恢复</w:t>
      </w:r>
      <w:r>
        <w:rPr>
          <w:rFonts w:hint="eastAsia" w:cs="仿宋_GB2312"/>
          <w:snapToGrid w:val="0"/>
          <w:kern w:val="0"/>
          <w:sz w:val="32"/>
          <w:lang w:eastAsia="zh-CN"/>
        </w:rPr>
        <w:t>技术</w:t>
      </w:r>
      <w:r>
        <w:rPr>
          <w:rFonts w:hint="eastAsia" w:cs="仿宋_GB2312"/>
          <w:snapToGrid w:val="0"/>
          <w:kern w:val="0"/>
          <w:sz w:val="32"/>
          <w:lang w:val="en-US" w:eastAsia="zh-CN"/>
        </w:rPr>
        <w:t>导则（试行）》；</w:t>
      </w:r>
    </w:p>
    <w:p w14:paraId="28D7636C">
      <w:pPr>
        <w:keepNext w:val="0"/>
        <w:keepLines w:val="0"/>
        <w:pageBreakBefore w:val="0"/>
        <w:widowControl w:val="0"/>
        <w:tabs>
          <w:tab w:val="left" w:pos="1560"/>
        </w:tabs>
        <w:kinsoku/>
        <w:wordWrap/>
        <w:overflowPunct w:val="0"/>
        <w:topLinePunct w:val="0"/>
        <w:autoSpaceDE/>
        <w:autoSpaceDN/>
        <w:bidi w:val="0"/>
        <w:adjustRightInd w:val="0"/>
        <w:snapToGrid w:val="0"/>
        <w:spacing w:line="560" w:lineRule="exact"/>
        <w:ind w:firstLine="632" w:firstLineChars="200"/>
        <w:rPr>
          <w:rFonts w:hint="eastAsia" w:cs="仿宋_GB2312"/>
          <w:snapToGrid w:val="0"/>
          <w:kern w:val="0"/>
          <w:sz w:val="32"/>
          <w:lang w:eastAsia="zh-CN"/>
        </w:rPr>
      </w:pPr>
      <w:r>
        <w:rPr>
          <w:rFonts w:hint="eastAsia" w:cs="仿宋_GB2312"/>
          <w:snapToGrid w:val="0"/>
          <w:kern w:val="0"/>
          <w:sz w:val="32"/>
          <w:lang w:eastAsia="zh-CN"/>
        </w:rPr>
        <w:t>（</w:t>
      </w:r>
      <w:r>
        <w:rPr>
          <w:rFonts w:hint="eastAsia" w:cs="仿宋_GB2312"/>
          <w:snapToGrid w:val="0"/>
          <w:kern w:val="0"/>
          <w:sz w:val="32"/>
          <w:lang w:val="en-US" w:eastAsia="zh-CN"/>
        </w:rPr>
        <w:t>二</w:t>
      </w:r>
      <w:r>
        <w:rPr>
          <w:rFonts w:hint="eastAsia" w:cs="仿宋_GB2312"/>
          <w:snapToGrid w:val="0"/>
          <w:kern w:val="0"/>
          <w:sz w:val="32"/>
          <w:lang w:eastAsia="zh-CN"/>
        </w:rPr>
        <w:t>）城市道路占用挖掘申请表（样表）；</w:t>
      </w:r>
    </w:p>
    <w:p w14:paraId="38CD1059">
      <w:pPr>
        <w:keepNext w:val="0"/>
        <w:keepLines w:val="0"/>
        <w:pageBreakBefore w:val="0"/>
        <w:widowControl w:val="0"/>
        <w:tabs>
          <w:tab w:val="left" w:pos="1560"/>
        </w:tabs>
        <w:kinsoku/>
        <w:wordWrap/>
        <w:overflowPunct w:val="0"/>
        <w:topLinePunct w:val="0"/>
        <w:autoSpaceDE/>
        <w:autoSpaceDN/>
        <w:bidi w:val="0"/>
        <w:adjustRightInd w:val="0"/>
        <w:snapToGrid w:val="0"/>
        <w:spacing w:line="560" w:lineRule="exact"/>
        <w:ind w:firstLine="632" w:firstLineChars="200"/>
        <w:rPr>
          <w:rFonts w:ascii="Times New Roman" w:hAnsi="Times New Roman" w:eastAsia="仿宋_GB2312" w:cs="仿宋_GB2312"/>
          <w:snapToGrid w:val="0"/>
          <w:kern w:val="0"/>
          <w:sz w:val="32"/>
        </w:rPr>
      </w:pPr>
      <w:r>
        <w:rPr>
          <w:rFonts w:hint="eastAsia"/>
          <w:sz w:val="32"/>
          <w:lang w:eastAsia="zh-CN"/>
        </w:rPr>
        <w:t>（</w:t>
      </w:r>
      <w:r>
        <w:rPr>
          <w:rFonts w:hint="eastAsia"/>
          <w:sz w:val="32"/>
          <w:lang w:val="en-US" w:eastAsia="zh-CN"/>
        </w:rPr>
        <w:t>三</w:t>
      </w:r>
      <w:r>
        <w:rPr>
          <w:rFonts w:hint="eastAsia"/>
          <w:sz w:val="32"/>
          <w:lang w:eastAsia="zh-CN"/>
        </w:rPr>
        <w:t>）</w:t>
      </w:r>
      <w:r>
        <w:rPr>
          <w:rFonts w:hint="default" w:ascii="Times New Roman" w:hAnsi="Times New Roman"/>
          <w:sz w:val="32"/>
        </w:rPr>
        <w:t>道路挖掘修复质量验收表（样表）；</w:t>
      </w:r>
    </w:p>
    <w:p w14:paraId="5E5D220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sz w:val="32"/>
          <w:lang w:eastAsia="zh-CN"/>
        </w:rPr>
      </w:pPr>
      <w:r>
        <w:rPr>
          <w:rFonts w:hint="eastAsia" w:cs="仿宋_GB2312"/>
          <w:snapToGrid w:val="0"/>
          <w:kern w:val="0"/>
          <w:sz w:val="32"/>
          <w:lang w:eastAsia="zh-CN"/>
        </w:rPr>
        <w:t>（</w:t>
      </w:r>
      <w:r>
        <w:rPr>
          <w:rFonts w:hint="eastAsia" w:cs="仿宋_GB2312"/>
          <w:snapToGrid w:val="0"/>
          <w:kern w:val="0"/>
          <w:sz w:val="32"/>
          <w:lang w:val="en-US" w:eastAsia="zh-CN"/>
        </w:rPr>
        <w:t>四</w:t>
      </w:r>
      <w:r>
        <w:rPr>
          <w:rFonts w:hint="eastAsia" w:cs="仿宋_GB2312"/>
          <w:snapToGrid w:val="0"/>
          <w:kern w:val="0"/>
          <w:sz w:val="32"/>
          <w:lang w:eastAsia="zh-CN"/>
        </w:rPr>
        <w:t>）</w:t>
      </w:r>
      <w:r>
        <w:rPr>
          <w:rFonts w:hint="default" w:ascii="Times New Roman" w:hAnsi="Times New Roman" w:eastAsia="仿宋_GB2312" w:cs="仿宋_GB2312"/>
          <w:snapToGrid w:val="0"/>
          <w:kern w:val="0"/>
          <w:sz w:val="32"/>
          <w:szCs w:val="32"/>
          <w:lang w:val="en-US" w:eastAsia="zh-CN" w:bidi="ar-SA"/>
        </w:rPr>
        <w:t>占用绿地</w:t>
      </w:r>
      <w:r>
        <w:rPr>
          <w:rFonts w:hint="eastAsia" w:cs="仿宋_GB2312"/>
          <w:snapToGrid w:val="0"/>
          <w:kern w:val="0"/>
          <w:sz w:val="32"/>
          <w:szCs w:val="32"/>
          <w:lang w:val="en-US" w:eastAsia="zh-CN" w:bidi="ar-SA"/>
        </w:rPr>
        <w:t>申请</w:t>
      </w:r>
      <w:r>
        <w:rPr>
          <w:rFonts w:hint="default" w:ascii="Times New Roman" w:hAnsi="Times New Roman" w:eastAsia="仿宋_GB2312" w:cs="仿宋_GB2312"/>
          <w:snapToGrid w:val="0"/>
          <w:kern w:val="0"/>
          <w:sz w:val="32"/>
          <w:szCs w:val="32"/>
          <w:lang w:val="en-US" w:eastAsia="zh-CN" w:bidi="ar-SA"/>
        </w:rPr>
        <w:t>表</w:t>
      </w:r>
      <w:r>
        <w:rPr>
          <w:rFonts w:hint="default" w:ascii="Times New Roman" w:hAnsi="Times New Roman"/>
          <w:sz w:val="32"/>
        </w:rPr>
        <w:t>（样表）；</w:t>
      </w:r>
    </w:p>
    <w:p w14:paraId="6739E89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sz w:val="32"/>
          <w:lang w:eastAsia="zh-CN"/>
        </w:rPr>
      </w:pPr>
      <w:r>
        <w:rPr>
          <w:rFonts w:hint="eastAsia"/>
          <w:sz w:val="32"/>
          <w:lang w:eastAsia="zh-CN"/>
        </w:rPr>
        <w:t>（</w:t>
      </w:r>
      <w:r>
        <w:rPr>
          <w:rFonts w:hint="eastAsia"/>
          <w:sz w:val="32"/>
          <w:lang w:val="en-US" w:eastAsia="zh-CN"/>
        </w:rPr>
        <w:t>五</w:t>
      </w:r>
      <w:r>
        <w:rPr>
          <w:rFonts w:hint="eastAsia"/>
          <w:sz w:val="32"/>
          <w:lang w:eastAsia="zh-CN"/>
        </w:rPr>
        <w:t>）</w:t>
      </w:r>
      <w:r>
        <w:rPr>
          <w:rFonts w:hint="eastAsia"/>
          <w:sz w:val="32"/>
          <w:lang w:val="en-US" w:eastAsia="zh-CN"/>
        </w:rPr>
        <w:t>占用城市绿地</w:t>
      </w:r>
      <w:r>
        <w:rPr>
          <w:rFonts w:hint="eastAsia"/>
          <w:sz w:val="32"/>
          <w:lang w:eastAsia="zh-CN"/>
        </w:rPr>
        <w:t>绿化恢复验收表</w:t>
      </w:r>
      <w:r>
        <w:rPr>
          <w:rFonts w:hint="default" w:ascii="Times New Roman" w:hAnsi="Times New Roman"/>
          <w:sz w:val="32"/>
        </w:rPr>
        <w:t>（样表）</w:t>
      </w:r>
      <w:r>
        <w:rPr>
          <w:rFonts w:hint="eastAsia"/>
          <w:sz w:val="32"/>
          <w:lang w:eastAsia="zh-CN"/>
        </w:rPr>
        <w:t>。</w:t>
      </w:r>
    </w:p>
    <w:p w14:paraId="429BE8B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32" w:firstLineChars="0"/>
        <w:jc w:val="both"/>
        <w:rPr>
          <w:rFonts w:hint="default" w:ascii="Times New Roman" w:hAnsi="Times New Roman" w:eastAsia="仿宋_GB2312" w:cs="仿宋_GB2312"/>
          <w:b w:val="0"/>
          <w:bCs w:val="0"/>
          <w:snapToGrid w:val="0"/>
          <w:kern w:val="0"/>
          <w:sz w:val="32"/>
          <w:szCs w:val="32"/>
          <w:lang w:val="en-US" w:eastAsia="zh-CN" w:bidi="ar-SA"/>
        </w:rPr>
      </w:pPr>
      <w:r>
        <w:rPr>
          <w:rFonts w:hint="default"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八十四</w:t>
      </w:r>
      <w:r>
        <w:rPr>
          <w:rFonts w:hint="default" w:ascii="Times New Roman" w:hAnsi="Times New Roman" w:eastAsia="仿宋_GB2312" w:cs="仿宋_GB2312"/>
          <w:b/>
          <w:bCs/>
          <w:snapToGrid w:val="0"/>
          <w:kern w:val="0"/>
          <w:sz w:val="32"/>
          <w:szCs w:val="32"/>
          <w:lang w:val="en-US" w:eastAsia="zh-CN" w:bidi="ar-SA"/>
        </w:rPr>
        <w:t>条</w:t>
      </w:r>
      <w:r>
        <w:rPr>
          <w:rFonts w:hint="eastAsia" w:ascii="Times New Roman" w:hAnsi="Times New Roman" w:eastAsia="仿宋_GB2312" w:cs="仿宋_GB2312"/>
          <w:b/>
          <w:bCs/>
          <w:snapToGrid w:val="0"/>
          <w:kern w:val="0"/>
          <w:sz w:val="32"/>
          <w:szCs w:val="32"/>
          <w:lang w:val="en-US" w:eastAsia="zh-CN" w:bidi="ar-SA"/>
        </w:rPr>
        <w:t xml:space="preserve">  </w:t>
      </w:r>
      <w:r>
        <w:rPr>
          <w:rFonts w:hint="default" w:ascii="Times New Roman" w:hAnsi="Times New Roman" w:eastAsia="仿宋_GB2312" w:cs="仿宋_GB2312"/>
          <w:b w:val="0"/>
          <w:bCs w:val="0"/>
          <w:snapToGrid w:val="0"/>
          <w:kern w:val="0"/>
          <w:sz w:val="32"/>
          <w:szCs w:val="32"/>
          <w:lang w:val="en-US" w:eastAsia="zh-CN" w:bidi="ar-SA"/>
        </w:rPr>
        <w:t>本办法由师市</w:t>
      </w:r>
      <w:r>
        <w:rPr>
          <w:rFonts w:hint="eastAsia" w:cs="仿宋_GB2312"/>
          <w:b w:val="0"/>
          <w:bCs w:val="0"/>
          <w:snapToGrid w:val="0"/>
          <w:kern w:val="0"/>
          <w:sz w:val="32"/>
          <w:szCs w:val="32"/>
          <w:lang w:val="en-US" w:eastAsia="zh-CN" w:bidi="ar-SA"/>
        </w:rPr>
        <w:t>住建局、</w:t>
      </w:r>
      <w:r>
        <w:rPr>
          <w:rFonts w:hint="default" w:ascii="Times New Roman" w:hAnsi="Times New Roman" w:eastAsia="仿宋_GB2312" w:cs="仿宋_GB2312"/>
          <w:b w:val="0"/>
          <w:bCs w:val="0"/>
          <w:snapToGrid w:val="0"/>
          <w:kern w:val="0"/>
          <w:sz w:val="32"/>
          <w:szCs w:val="32"/>
          <w:lang w:val="en-US" w:eastAsia="zh-CN" w:bidi="ar-SA"/>
        </w:rPr>
        <w:t>城市管理局负责解释。</w:t>
      </w:r>
    </w:p>
    <w:p w14:paraId="03AA5A0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微软雅黑" w:cs="方正仿宋_GB2312"/>
          <w:sz w:val="32"/>
          <w:szCs w:val="32"/>
          <w:lang w:val="en-US" w:eastAsia="zh-CN"/>
        </w:rPr>
      </w:pPr>
      <w:r>
        <w:rPr>
          <w:rFonts w:hint="eastAsia" w:ascii="Times New Roman" w:hAnsi="Times New Roman" w:eastAsia="仿宋_GB2312" w:cs="仿宋_GB2312"/>
          <w:b/>
          <w:bCs/>
          <w:snapToGrid w:val="0"/>
          <w:kern w:val="0"/>
          <w:sz w:val="32"/>
          <w:szCs w:val="32"/>
          <w:lang w:val="en-US" w:eastAsia="zh-CN" w:bidi="ar-SA"/>
        </w:rPr>
        <w:t>第</w:t>
      </w:r>
      <w:r>
        <w:rPr>
          <w:rFonts w:hint="eastAsia" w:cs="仿宋_GB2312"/>
          <w:b/>
          <w:bCs/>
          <w:snapToGrid w:val="0"/>
          <w:kern w:val="0"/>
          <w:sz w:val="32"/>
          <w:szCs w:val="32"/>
          <w:lang w:val="en-US" w:eastAsia="zh-CN" w:bidi="ar-SA"/>
        </w:rPr>
        <w:t>八十五</w:t>
      </w:r>
      <w:r>
        <w:rPr>
          <w:rFonts w:hint="eastAsia" w:ascii="Times New Roman" w:hAnsi="Times New Roman" w:eastAsia="仿宋_GB2312" w:cs="仿宋_GB2312"/>
          <w:b/>
          <w:bCs/>
          <w:snapToGrid w:val="0"/>
          <w:kern w:val="0"/>
          <w:sz w:val="32"/>
          <w:szCs w:val="32"/>
          <w:lang w:val="en-US" w:eastAsia="zh-CN" w:bidi="ar-SA"/>
        </w:rPr>
        <w:t xml:space="preserve">条  </w:t>
      </w:r>
      <w:r>
        <w:rPr>
          <w:rFonts w:hint="eastAsia" w:ascii="Times New Roman" w:hAnsi="Times New Roman" w:eastAsia="仿宋_GB2312" w:cs="仿宋_GB2312"/>
          <w:b w:val="0"/>
          <w:bCs w:val="0"/>
          <w:snapToGrid w:val="0"/>
          <w:kern w:val="0"/>
          <w:sz w:val="32"/>
          <w:szCs w:val="32"/>
          <w:lang w:val="en-US" w:eastAsia="zh-CN" w:bidi="ar-SA"/>
        </w:rPr>
        <w:t>本办法自发布之日起施行，此前师市相关规定与本办法不一致的，以本办法为准。</w:t>
      </w:r>
    </w:p>
    <w:p w14:paraId="2765710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lang w:val="en-US" w:eastAsia="zh-CN"/>
        </w:rPr>
      </w:pPr>
    </w:p>
    <w:p w14:paraId="064E58F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lang w:val="en-US" w:eastAsia="zh-CN"/>
        </w:rPr>
      </w:pPr>
    </w:p>
    <w:p w14:paraId="373F6BC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lang w:val="en-US" w:eastAsia="zh-CN"/>
        </w:rPr>
      </w:pPr>
    </w:p>
    <w:p w14:paraId="42DDACB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default"/>
          <w:lang w:val="en-US" w:eastAsia="zh-CN"/>
        </w:rPr>
        <w:t>​</w:t>
      </w:r>
    </w:p>
    <w:p w14:paraId="33BCF12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附件1</w:t>
      </w:r>
    </w:p>
    <w:p w14:paraId="6780701B">
      <w:pPr>
        <w:keepNext w:val="0"/>
        <w:keepLines w:val="0"/>
        <w:pageBreakBefore w:val="0"/>
        <w:widowControl w:val="0"/>
        <w:kinsoku/>
        <w:wordWrap w:val="0"/>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52"/>
        </w:rPr>
      </w:pPr>
    </w:p>
    <w:p w14:paraId="1229F10B">
      <w:pPr>
        <w:keepNext w:val="0"/>
        <w:keepLines w:val="0"/>
        <w:pageBreakBefore w:val="0"/>
        <w:widowControl w:val="0"/>
        <w:kinsoku/>
        <w:wordWrap w:val="0"/>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52"/>
        </w:rPr>
      </w:pPr>
      <w:r>
        <w:rPr>
          <w:rFonts w:hint="default" w:ascii="Times New Roman" w:hAnsi="Times New Roman" w:eastAsia="方正小标宋简体" w:cs="Times New Roman"/>
          <w:sz w:val="44"/>
          <w:szCs w:val="52"/>
        </w:rPr>
        <w:t>第一师阿拉尔市</w:t>
      </w:r>
      <w:r>
        <w:rPr>
          <w:rFonts w:hint="eastAsia" w:ascii="Times New Roman" w:hAnsi="Times New Roman" w:eastAsia="方正小标宋简体" w:cs="Times New Roman"/>
          <w:sz w:val="44"/>
          <w:szCs w:val="52"/>
          <w:lang w:val="en-US" w:eastAsia="zh-CN"/>
        </w:rPr>
        <w:t>城市</w:t>
      </w:r>
      <w:r>
        <w:rPr>
          <w:rFonts w:hint="default" w:ascii="Times New Roman" w:hAnsi="Times New Roman" w:eastAsia="方正小标宋简体" w:cs="Times New Roman"/>
          <w:sz w:val="44"/>
          <w:szCs w:val="52"/>
        </w:rPr>
        <w:t>道路</w:t>
      </w:r>
      <w:r>
        <w:rPr>
          <w:rFonts w:hint="eastAsia" w:ascii="Times New Roman" w:hAnsi="Times New Roman" w:eastAsia="方正小标宋简体" w:cs="Times New Roman"/>
          <w:sz w:val="44"/>
          <w:szCs w:val="52"/>
          <w:lang w:eastAsia="zh-CN"/>
        </w:rPr>
        <w:t>、</w:t>
      </w:r>
      <w:r>
        <w:rPr>
          <w:rFonts w:hint="eastAsia" w:ascii="Times New Roman" w:hAnsi="Times New Roman" w:eastAsia="方正小标宋简体" w:cs="Times New Roman"/>
          <w:sz w:val="44"/>
          <w:szCs w:val="52"/>
          <w:lang w:val="en-US" w:eastAsia="zh-CN"/>
        </w:rPr>
        <w:t>绿地</w:t>
      </w:r>
      <w:r>
        <w:rPr>
          <w:rFonts w:hint="default" w:ascii="Times New Roman" w:hAnsi="Times New Roman" w:eastAsia="方正小标宋简体" w:cs="Times New Roman"/>
          <w:sz w:val="44"/>
          <w:szCs w:val="52"/>
        </w:rPr>
        <w:t>占用挖掘</w:t>
      </w:r>
    </w:p>
    <w:p w14:paraId="7B24D40F">
      <w:pPr>
        <w:keepNext w:val="0"/>
        <w:keepLines w:val="0"/>
        <w:pageBreakBefore w:val="0"/>
        <w:widowControl w:val="0"/>
        <w:kinsoku/>
        <w:wordWrap w:val="0"/>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52"/>
          <w:lang w:val="en-US" w:eastAsia="zh-CN"/>
        </w:rPr>
      </w:pPr>
      <w:r>
        <w:rPr>
          <w:rFonts w:hint="eastAsia" w:ascii="Times New Roman" w:hAnsi="Times New Roman" w:eastAsia="方正小标宋简体" w:cs="Times New Roman"/>
          <w:sz w:val="44"/>
          <w:szCs w:val="52"/>
          <w:lang w:val="en-US" w:eastAsia="zh-CN"/>
        </w:rPr>
        <w:t>和恢</w:t>
      </w:r>
      <w:r>
        <w:rPr>
          <w:rFonts w:hint="default" w:ascii="Times New Roman" w:hAnsi="Times New Roman" w:eastAsia="方正小标宋简体" w:cs="Times New Roman"/>
          <w:sz w:val="44"/>
          <w:szCs w:val="52"/>
          <w:lang w:val="en-US" w:eastAsia="zh-CN"/>
        </w:rPr>
        <w:t>复</w:t>
      </w:r>
      <w:r>
        <w:rPr>
          <w:rFonts w:hint="default" w:ascii="Times New Roman" w:hAnsi="Times New Roman" w:eastAsia="方正小标宋简体" w:cs="Times New Roman"/>
          <w:sz w:val="44"/>
          <w:szCs w:val="52"/>
        </w:rPr>
        <w:t>技术</w:t>
      </w:r>
      <w:r>
        <w:rPr>
          <w:rFonts w:hint="eastAsia" w:ascii="Times New Roman" w:hAnsi="Times New Roman" w:eastAsia="方正小标宋简体" w:cs="Times New Roman"/>
          <w:sz w:val="44"/>
          <w:szCs w:val="52"/>
          <w:lang w:val="en-US" w:eastAsia="zh-CN"/>
        </w:rPr>
        <w:t>导则</w:t>
      </w:r>
      <w:r>
        <w:rPr>
          <w:rFonts w:hint="default" w:ascii="Times New Roman" w:hAnsi="Times New Roman" w:eastAsia="方正小标宋简体" w:cs="Times New Roman"/>
          <w:sz w:val="44"/>
          <w:szCs w:val="52"/>
          <w:lang w:val="en-US" w:eastAsia="zh-CN"/>
        </w:rPr>
        <w:t>（试行）</w:t>
      </w:r>
    </w:p>
    <w:p w14:paraId="0B528E10">
      <w:pPr>
        <w:keepNext w:val="0"/>
        <w:keepLines w:val="0"/>
        <w:pageBreakBefore w:val="0"/>
        <w:widowControl w:val="0"/>
        <w:kinsoku/>
        <w:wordWrap w:val="0"/>
        <w:overflowPunct w:val="0"/>
        <w:topLinePunct w:val="0"/>
        <w:autoSpaceDE/>
        <w:autoSpaceDN/>
        <w:bidi w:val="0"/>
        <w:adjustRightInd/>
        <w:snapToGrid/>
        <w:spacing w:line="560" w:lineRule="exact"/>
        <w:textAlignment w:val="auto"/>
        <w:rPr>
          <w:rFonts w:hint="default" w:ascii="Times New Roman" w:hAnsi="Times New Roman" w:eastAsia="微软雅黑" w:cs="Times New Roman"/>
          <w:sz w:val="32"/>
          <w:szCs w:val="40"/>
          <w:lang w:val="en-US" w:eastAsia="zh-CN"/>
        </w:rPr>
      </w:pPr>
    </w:p>
    <w:p w14:paraId="12105098">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一、</w:t>
      </w:r>
      <w:r>
        <w:rPr>
          <w:rFonts w:hint="eastAsia" w:ascii="黑体" w:hAnsi="黑体" w:eastAsia="黑体" w:cs="黑体"/>
          <w:sz w:val="32"/>
          <w:szCs w:val="40"/>
        </w:rPr>
        <w:t>适用范围</w:t>
      </w:r>
    </w:p>
    <w:p w14:paraId="44FD47EA">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val="en-US" w:eastAsia="zh-CN"/>
        </w:rPr>
        <w:t>本导则</w:t>
      </w:r>
      <w:r>
        <w:rPr>
          <w:rFonts w:hint="eastAsia" w:ascii="Times New Roman" w:hAnsi="Times New Roman" w:eastAsia="仿宋_GB2312" w:cs="仿宋_GB2312"/>
          <w:sz w:val="32"/>
          <w:szCs w:val="40"/>
        </w:rPr>
        <w:t>适用于第一师阿拉尔市行政区域内城市道路以及城市公共绿地、道路附属绿地、防护绿地等各类绿地的挖掘作业与生态修复工程，涵盖因管线埋设（给水、燃气、通信等）、设施维护（交通设施、灌溉系统等）、工程建设（建筑施工、道路拓宽等）引发的开挖及恢复作业，明确挖掘操作、现场管控及恢复验收的技术要求。</w:t>
      </w:r>
    </w:p>
    <w:p w14:paraId="44B0887F">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二、</w:t>
      </w:r>
      <w:r>
        <w:rPr>
          <w:rFonts w:hint="eastAsia" w:ascii="黑体" w:hAnsi="黑体" w:eastAsia="黑体" w:cs="黑体"/>
          <w:sz w:val="32"/>
          <w:szCs w:val="40"/>
        </w:rPr>
        <w:t>编制依据</w:t>
      </w:r>
    </w:p>
    <w:p w14:paraId="5D265DAA">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color w:val="auto"/>
          <w:sz w:val="32"/>
          <w:szCs w:val="40"/>
        </w:rPr>
        <w:t>依据《中华人民共和国城乡规划法》《城市绿化条例》《城镇道路工程施工与质量验收规范》（CJJ1-2008）《园林绿化工程施工及验收规范》（CJJ/T 82-2012</w:t>
      </w:r>
      <w:r>
        <w:rPr>
          <w:rFonts w:hint="eastAsia" w:cs="仿宋_GB2312"/>
          <w:color w:val="auto"/>
          <w:sz w:val="32"/>
          <w:szCs w:val="40"/>
          <w:lang w:eastAsia="zh-CN"/>
        </w:rPr>
        <w:t>）</w:t>
      </w:r>
      <w:r>
        <w:rPr>
          <w:rFonts w:hint="eastAsia" w:ascii="Times New Roman" w:hAnsi="Times New Roman" w:eastAsia="仿宋_GB2312" w:cs="仿宋_GB2312"/>
          <w:color w:val="auto"/>
          <w:sz w:val="32"/>
          <w:szCs w:val="40"/>
        </w:rPr>
        <w:t>《新疆盐渍土地区公路路基路面设计与施工技术标准》（XJTJ01—2001）《生态修复城市修</w:t>
      </w:r>
      <w:r>
        <w:rPr>
          <w:rFonts w:hint="eastAsia" w:ascii="Times New Roman" w:hAnsi="Times New Roman" w:eastAsia="仿宋_GB2312" w:cs="仿宋_GB2312"/>
          <w:sz w:val="32"/>
          <w:szCs w:val="40"/>
        </w:rPr>
        <w:t>补技术导则》（XJJ103-2019）《第一师阿拉尔市市政设施管理办法（试行）》</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第一师阿拉尔市绿化工作导则（试行）》</w:t>
      </w:r>
      <w:r>
        <w:rPr>
          <w:rFonts w:hint="eastAsia" w:ascii="Times New Roman" w:hAnsi="Times New Roman" w:eastAsia="仿宋_GB2312" w:cs="仿宋_GB2312"/>
          <w:sz w:val="32"/>
          <w:szCs w:val="40"/>
          <w:lang w:eastAsia="zh-CN"/>
        </w:rPr>
        <w:t>《第一师阿拉尔市城市道路和绿地占用挖掘管理办法（试行）》</w:t>
      </w:r>
      <w:r>
        <w:rPr>
          <w:rFonts w:hint="eastAsia" w:ascii="Times New Roman" w:hAnsi="Times New Roman" w:eastAsia="仿宋_GB2312" w:cs="仿宋_GB2312"/>
          <w:sz w:val="32"/>
          <w:szCs w:val="40"/>
        </w:rPr>
        <w:t>等法律法规与政策文件，结合师市土壤特性、</w:t>
      </w:r>
      <w:bookmarkStart w:id="2" w:name="_GoBack"/>
      <w:bookmarkEnd w:id="2"/>
      <w:r>
        <w:rPr>
          <w:rFonts w:hint="eastAsia" w:ascii="Times New Roman" w:hAnsi="Times New Roman" w:eastAsia="仿宋_GB2312" w:cs="仿宋_GB2312"/>
          <w:sz w:val="32"/>
          <w:szCs w:val="40"/>
        </w:rPr>
        <w:t>地下设施分布及生态保护需求制定。</w:t>
      </w:r>
    </w:p>
    <w:p w14:paraId="733E216F">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三、</w:t>
      </w:r>
      <w:r>
        <w:rPr>
          <w:rFonts w:hint="eastAsia" w:ascii="黑体" w:hAnsi="黑体" w:eastAsia="黑体" w:cs="黑体"/>
          <w:sz w:val="32"/>
          <w:szCs w:val="40"/>
        </w:rPr>
        <w:t>核心原则</w:t>
      </w:r>
    </w:p>
    <w:p w14:paraId="3FAD5498">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遵循“先审批后占用、先勘察后挖掘、先保护后作业、先恢复后销号”的原则；挖掘与修复应遵循“勘察先行、保护优先、因地制宜、质量匹配、生态协同”原则，道路修复技术标准不低于原道路等级标准，道路占用优先保障通行功能，挖掘作业优先采用非开挖技术；绿地修复应确保生态功能与景观效果不低于原有水平</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园林绿化占用挖掘兼顾植物生长需求与设施安全，实现合规占用、科学挖掘、生态恢复的统一</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盐渍土区域施工需重点防控盐胀、溶陷与土壤盐碱化风险，干旱环境下应优先采用节水型施工工艺与耐旱植被配置。</w:t>
      </w:r>
    </w:p>
    <w:p w14:paraId="6108FE9C">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四、术语定义</w:t>
      </w:r>
    </w:p>
    <w:p w14:paraId="20D4B8A9">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b/>
          <w:bCs/>
          <w:sz w:val="32"/>
          <w:szCs w:val="40"/>
          <w:lang w:val="en-US" w:eastAsia="zh-CN"/>
        </w:rPr>
        <w:t>（一）盐渍土路基：</w:t>
      </w:r>
      <w:r>
        <w:rPr>
          <w:rFonts w:hint="eastAsia" w:ascii="Times New Roman" w:hAnsi="Times New Roman" w:eastAsia="仿宋_GB2312" w:cs="仿宋_GB2312"/>
          <w:sz w:val="32"/>
          <w:szCs w:val="40"/>
          <w:lang w:val="en-US" w:eastAsia="zh-CN"/>
        </w:rPr>
        <w:t>地表下1.0m范围内土体易溶盐含量≥0.3%的路基，按含盐量分为轻度（0.3%～0.5%）、中度（0.5%～0.7%）、重度（＞0.7%）三级。</w:t>
      </w:r>
    </w:p>
    <w:p w14:paraId="0133FC06">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b/>
          <w:bCs/>
          <w:sz w:val="32"/>
          <w:szCs w:val="40"/>
          <w:lang w:val="en-US" w:eastAsia="zh-CN"/>
        </w:rPr>
        <w:t>（二）绿地生态修复：</w:t>
      </w:r>
      <w:r>
        <w:rPr>
          <w:rFonts w:hint="eastAsia" w:ascii="Times New Roman" w:hAnsi="Times New Roman" w:eastAsia="仿宋_GB2312" w:cs="仿宋_GB2312"/>
          <w:sz w:val="32"/>
          <w:szCs w:val="40"/>
          <w:lang w:val="en-US" w:eastAsia="zh-CN"/>
        </w:rPr>
        <w:t>通过土壤改良、植被重建、设施修复等措施，使挖掘受损绿地恢复生态功能与景观价值的过程，包括土壤重构、植被恢复、灌溉系统重建等环节。</w:t>
      </w:r>
    </w:p>
    <w:p w14:paraId="36F28F27">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b/>
          <w:bCs/>
          <w:sz w:val="32"/>
          <w:szCs w:val="40"/>
          <w:lang w:val="en-US" w:eastAsia="zh-CN"/>
        </w:rPr>
        <w:t>（三）干压实工艺：</w:t>
      </w:r>
      <w:r>
        <w:rPr>
          <w:rFonts w:hint="eastAsia" w:ascii="Times New Roman" w:hAnsi="Times New Roman" w:eastAsia="仿宋_GB2312" w:cs="仿宋_GB2312"/>
          <w:sz w:val="32"/>
          <w:szCs w:val="40"/>
          <w:lang w:val="en-US" w:eastAsia="zh-CN"/>
        </w:rPr>
        <w:t>针对南疆干旱缺水特点，采用振动碾压设备对含水量较低的回填材料进行压实的施工方法，适用于砂性土及改良盐渍土回填。</w:t>
      </w:r>
    </w:p>
    <w:p w14:paraId="5578D2AB">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b/>
          <w:bCs/>
          <w:sz w:val="32"/>
          <w:szCs w:val="40"/>
          <w:lang w:val="en-US" w:eastAsia="zh-CN"/>
        </w:rPr>
        <w:t>（四）客土覆盖：</w:t>
      </w:r>
      <w:r>
        <w:rPr>
          <w:rFonts w:hint="eastAsia" w:ascii="Times New Roman" w:hAnsi="Times New Roman" w:eastAsia="仿宋_GB2312" w:cs="仿宋_GB2312"/>
          <w:sz w:val="32"/>
          <w:szCs w:val="40"/>
          <w:lang w:val="en-US" w:eastAsia="zh-CN"/>
        </w:rPr>
        <w:t>当原有土壤无法满足植被生长需求时，引入适宜植被生长的外来土壤进行覆盖的改良措施，包括整体客土与穴状客土两种方式。</w:t>
      </w:r>
    </w:p>
    <w:p w14:paraId="65A4CFDD">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b/>
          <w:bCs/>
          <w:sz w:val="32"/>
          <w:szCs w:val="40"/>
          <w:lang w:val="en-US" w:eastAsia="zh-CN"/>
        </w:rPr>
        <w:t>（五）古树名木：</w:t>
      </w:r>
      <w:r>
        <w:rPr>
          <w:rFonts w:hint="eastAsia" w:ascii="Times New Roman" w:hAnsi="Times New Roman" w:eastAsia="仿宋_GB2312" w:cs="仿宋_GB2312"/>
          <w:sz w:val="32"/>
          <w:szCs w:val="40"/>
          <w:lang w:val="en-US" w:eastAsia="zh-CN"/>
        </w:rPr>
        <w:t>古树指树龄100年以上的树木（不包括人工培育、以生产木材为主要目的的商品林中的树木）；名木指具有重要历史、文化、科学、景观价值或重要纪念意义的树木。</w:t>
      </w:r>
    </w:p>
    <w:p w14:paraId="5B2F5D04">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五、</w:t>
      </w:r>
      <w:r>
        <w:rPr>
          <w:rFonts w:hint="eastAsia" w:ascii="黑体" w:hAnsi="黑体" w:eastAsia="黑体" w:cs="黑体"/>
          <w:sz w:val="32"/>
          <w:szCs w:val="40"/>
        </w:rPr>
        <w:t>施工前期勘察与准备</w:t>
      </w:r>
    </w:p>
    <w:p w14:paraId="38B0D2D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一）</w:t>
      </w:r>
      <w:r>
        <w:rPr>
          <w:rFonts w:hint="eastAsia" w:ascii="楷体_GB2312" w:hAnsi="楷体_GB2312" w:eastAsia="楷体_GB2312" w:cs="楷体_GB2312"/>
          <w:sz w:val="32"/>
          <w:szCs w:val="40"/>
        </w:rPr>
        <w:t>现场勘察与探测</w:t>
      </w:r>
    </w:p>
    <w:p w14:paraId="182C557E">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1.</w:t>
      </w:r>
      <w:r>
        <w:rPr>
          <w:rFonts w:hint="eastAsia" w:ascii="仿宋_GB2312" w:hAnsi="仿宋_GB2312" w:eastAsia="仿宋_GB2312" w:cs="仿宋_GB2312"/>
          <w:b/>
          <w:bCs/>
          <w:sz w:val="32"/>
          <w:szCs w:val="40"/>
        </w:rPr>
        <w:t>地质与道路勘察</w:t>
      </w:r>
    </w:p>
    <w:p w14:paraId="5891015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b w:val="0"/>
          <w:bCs w:val="0"/>
          <w:sz w:val="32"/>
          <w:szCs w:val="40"/>
          <w:lang w:eastAsia="zh-CN"/>
        </w:rPr>
        <w:t>（</w:t>
      </w:r>
      <w:r>
        <w:rPr>
          <w:rFonts w:hint="eastAsia" w:ascii="Times New Roman" w:hAnsi="Times New Roman" w:eastAsia="仿宋_GB2312" w:cs="仿宋_GB2312"/>
          <w:b w:val="0"/>
          <w:bCs w:val="0"/>
          <w:sz w:val="32"/>
          <w:szCs w:val="40"/>
          <w:lang w:val="en-US" w:eastAsia="zh-CN"/>
        </w:rPr>
        <w:t>1）</w:t>
      </w:r>
      <w:r>
        <w:rPr>
          <w:rFonts w:hint="eastAsia" w:ascii="Times New Roman" w:hAnsi="Times New Roman" w:eastAsia="仿宋_GB2312" w:cs="仿宋_GB2312"/>
          <w:b w:val="0"/>
          <w:bCs w:val="0"/>
          <w:sz w:val="32"/>
          <w:szCs w:val="40"/>
        </w:rPr>
        <w:t>地下管线探测：</w:t>
      </w:r>
      <w:r>
        <w:rPr>
          <w:rFonts w:hint="eastAsia" w:ascii="Times New Roman" w:hAnsi="Times New Roman" w:eastAsia="仿宋_GB2312" w:cs="仿宋_GB2312"/>
          <w:sz w:val="32"/>
          <w:szCs w:val="40"/>
        </w:rPr>
        <w:t>采用地质雷达（探测深度≥3m，分辨率≤5cm）结合人工探坑（间距≤50m）探测地下管线位置、埋深及管径，对给水管（压力≥0.4MPa）、燃气管（压力≥0.1MPa）、通信光缆等重要设施设置红色警示标识，标注内容包括产权单位、联系电话、埋深。</w:t>
      </w:r>
    </w:p>
    <w:p w14:paraId="0BC37085">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2）</w:t>
      </w:r>
      <w:r>
        <w:rPr>
          <w:rFonts w:hint="eastAsia" w:ascii="Times New Roman" w:hAnsi="Times New Roman" w:eastAsia="仿宋_GB2312" w:cs="仿宋_GB2312"/>
          <w:sz w:val="32"/>
          <w:szCs w:val="40"/>
        </w:rPr>
        <w:t>土壤性质检测：对地表下1.0m范围内土体按每100m取样1组（每组3个样本），检测易溶盐含量、pH值、有机质含量、土壤容重及颗粒级配，明确盐渍土类型与盐碱化程度。</w:t>
      </w:r>
    </w:p>
    <w:p w14:paraId="4987AFF8">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3）</w:t>
      </w:r>
      <w:r>
        <w:rPr>
          <w:rFonts w:hint="eastAsia" w:ascii="Times New Roman" w:hAnsi="Times New Roman" w:eastAsia="仿宋_GB2312" w:cs="仿宋_GB2312"/>
          <w:sz w:val="32"/>
          <w:szCs w:val="40"/>
        </w:rPr>
        <w:t>水文地质勘察：采用钻孔法（孔深≥2.0m）勘察地下水位埋深，绘制水位变化曲线，分析季节性水位波动对路基的影响。</w:t>
      </w:r>
    </w:p>
    <w:p w14:paraId="6DB3B39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4）</w:t>
      </w:r>
      <w:r>
        <w:rPr>
          <w:rFonts w:hint="eastAsia" w:ascii="Times New Roman" w:hAnsi="Times New Roman" w:eastAsia="仿宋_GB2312" w:cs="仿宋_GB2312"/>
          <w:sz w:val="32"/>
          <w:szCs w:val="40"/>
        </w:rPr>
        <w:t>路基现状勘察：采用贝克曼梁测定路基弯沉值（每20m1个测点），钻芯取样（每100m1个芯样）检测原路面结构层次及厚度，出具包含盐胀风险、溶陷风险、承载力评估的综合勘察报告。</w:t>
      </w:r>
    </w:p>
    <w:p w14:paraId="0A63234E">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2.</w:t>
      </w:r>
      <w:r>
        <w:rPr>
          <w:rFonts w:hint="eastAsia" w:ascii="仿宋_GB2312" w:hAnsi="仿宋_GB2312" w:eastAsia="仿宋_GB2312" w:cs="仿宋_GB2312"/>
          <w:b/>
          <w:bCs/>
          <w:sz w:val="32"/>
          <w:szCs w:val="40"/>
        </w:rPr>
        <w:t>绿地勘察</w:t>
      </w:r>
    </w:p>
    <w:p w14:paraId="496071E9">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b w:val="0"/>
          <w:bCs w:val="0"/>
          <w:sz w:val="32"/>
          <w:szCs w:val="40"/>
          <w:lang w:eastAsia="zh-CN"/>
        </w:rPr>
        <w:t>（</w:t>
      </w:r>
      <w:r>
        <w:rPr>
          <w:rFonts w:hint="eastAsia" w:ascii="Times New Roman" w:hAnsi="Times New Roman" w:eastAsia="仿宋_GB2312" w:cs="仿宋_GB2312"/>
          <w:b w:val="0"/>
          <w:bCs w:val="0"/>
          <w:sz w:val="32"/>
          <w:szCs w:val="40"/>
          <w:lang w:val="en-US" w:eastAsia="zh-CN"/>
        </w:rPr>
        <w:t>1）</w:t>
      </w:r>
      <w:r>
        <w:rPr>
          <w:rFonts w:hint="eastAsia" w:ascii="Times New Roman" w:hAnsi="Times New Roman" w:eastAsia="仿宋_GB2312" w:cs="仿宋_GB2312"/>
          <w:sz w:val="32"/>
          <w:szCs w:val="40"/>
        </w:rPr>
        <w:t>植被调查：采用样方法（乔木样方面积20m×20m，灌木10m×10m，草本1m×1m）调查植物种类、胸径（乔木）、地径（灌木）、树高、冠幅及生长状况，植被覆盖率采用无人机航拍结合人工实测计算；对古树名木需单独记录树龄、生长环境、健康状况，绘制保护范围图。</w:t>
      </w:r>
    </w:p>
    <w:p w14:paraId="6D76847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2）</w:t>
      </w:r>
      <w:r>
        <w:rPr>
          <w:rFonts w:hint="eastAsia" w:ascii="Times New Roman" w:hAnsi="Times New Roman" w:eastAsia="仿宋_GB2312" w:cs="仿宋_GB2312"/>
          <w:sz w:val="32"/>
          <w:szCs w:val="40"/>
        </w:rPr>
        <w:t>土壤检测：按每500㎡取1个混合样本（0-30cm、30</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60cm两层），检测指标包括含盐量（按《南疆盐碱地土壤调理剂施用技术规程》分级）、pH值、土壤容重（应≤1.4g/cm³）、孔隙度（应≥45%）、有机质含量（应≥1.0%）及速效氮磷钾含量；其中硫酸盐氯化物型土壤含盐量0.2%～0.3%为轻度、0.3%～0.6%为中度、</w:t>
      </w:r>
      <w:r>
        <w:rPr>
          <w:rFonts w:hint="eastAsia" w:ascii="Times New Roman" w:hAnsi="Times New Roman" w:eastAsia="仿宋_GB2312" w:cs="仿宋_GB2312"/>
          <w:sz w:val="32"/>
          <w:szCs w:val="40"/>
          <w:lang w:eastAsia="zh-CN"/>
        </w:rPr>
        <w:t>0.6%～1.0%</w:t>
      </w:r>
      <w:r>
        <w:rPr>
          <w:rFonts w:hint="eastAsia" w:ascii="Times New Roman" w:hAnsi="Times New Roman" w:eastAsia="仿宋_GB2312" w:cs="仿宋_GB2312"/>
          <w:sz w:val="32"/>
          <w:szCs w:val="40"/>
        </w:rPr>
        <w:t>为重度、1.0%以上为极重度；碳酸盐型土壤含盐量0.1%～0.2%且pH值7.5～8.5为轻度、0.2%～0.3%且pH值8.5～9.0为中度、0.3%～0.5%且pH值9.0～9.5为重度、0.5%以上且pH值9.5以上为极重度。</w:t>
      </w:r>
    </w:p>
    <w:p w14:paraId="27BF81A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3）</w:t>
      </w:r>
      <w:r>
        <w:rPr>
          <w:rFonts w:hint="eastAsia" w:ascii="Times New Roman" w:hAnsi="Times New Roman" w:eastAsia="仿宋_GB2312" w:cs="仿宋_GB2312"/>
          <w:sz w:val="32"/>
          <w:szCs w:val="40"/>
        </w:rPr>
        <w:t>灌溉系统勘察：采用水压试验（试验压力1.0MPa，保压1h）检测现有灌溉管网密封性，用流量计测定管网流量分布，评估系统供水能力。</w:t>
      </w:r>
    </w:p>
    <w:p w14:paraId="7C747F58">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3.</w:t>
      </w:r>
      <w:r>
        <w:rPr>
          <w:rFonts w:hint="eastAsia" w:ascii="仿宋_GB2312" w:hAnsi="仿宋_GB2312" w:eastAsia="仿宋_GB2312" w:cs="仿宋_GB2312"/>
          <w:b/>
          <w:bCs/>
          <w:sz w:val="32"/>
          <w:szCs w:val="40"/>
        </w:rPr>
        <w:t>交叉区域勘察</w:t>
      </w:r>
    </w:p>
    <w:p w14:paraId="3145B237">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b w:val="0"/>
          <w:bCs w:val="0"/>
          <w:sz w:val="32"/>
          <w:szCs w:val="40"/>
          <w:lang w:eastAsia="zh-CN"/>
        </w:rPr>
        <w:t>（</w:t>
      </w:r>
      <w:r>
        <w:rPr>
          <w:rFonts w:hint="eastAsia" w:ascii="Times New Roman" w:hAnsi="Times New Roman" w:eastAsia="仿宋_GB2312" w:cs="仿宋_GB2312"/>
          <w:b w:val="0"/>
          <w:bCs w:val="0"/>
          <w:sz w:val="32"/>
          <w:szCs w:val="40"/>
          <w:lang w:val="en-US" w:eastAsia="zh-CN"/>
        </w:rPr>
        <w:t>1）</w:t>
      </w:r>
      <w:r>
        <w:rPr>
          <w:rFonts w:hint="eastAsia" w:ascii="Times New Roman" w:hAnsi="Times New Roman" w:eastAsia="仿宋_GB2312" w:cs="仿宋_GB2312"/>
          <w:sz w:val="32"/>
          <w:szCs w:val="40"/>
        </w:rPr>
        <w:t>过渡带特性勘察：沿道路与绿地交界线每20m取1组土壤样本，分析路基土与绿地土的含盐量、含水量差异，评估盐分迁移风险。</w:t>
      </w:r>
    </w:p>
    <w:p w14:paraId="22F4407C">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2）</w:t>
      </w:r>
      <w:r>
        <w:rPr>
          <w:rFonts w:hint="eastAsia" w:ascii="Times New Roman" w:hAnsi="Times New Roman" w:eastAsia="仿宋_GB2312" w:cs="仿宋_GB2312"/>
          <w:sz w:val="32"/>
          <w:szCs w:val="40"/>
        </w:rPr>
        <w:t>水文联动勘察：监测地下水位变化对路基稳定性及绿地土壤盐碱化的协同影响，绘制水位</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盐分响应曲线。</w:t>
      </w:r>
    </w:p>
    <w:p w14:paraId="3F77729A">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3）</w:t>
      </w:r>
      <w:r>
        <w:rPr>
          <w:rFonts w:hint="eastAsia" w:ascii="Times New Roman" w:hAnsi="Times New Roman" w:eastAsia="仿宋_GB2312" w:cs="仿宋_GB2312"/>
          <w:sz w:val="32"/>
          <w:szCs w:val="40"/>
        </w:rPr>
        <w:t>设施关联性</w:t>
      </w:r>
      <w:r>
        <w:rPr>
          <w:rFonts w:hint="eastAsia" w:ascii="Times New Roman" w:hAnsi="Times New Roman" w:eastAsia="仿宋_GB2312" w:cs="仿宋_GB2312"/>
          <w:sz w:val="32"/>
          <w:szCs w:val="40"/>
          <w:lang w:val="en-US" w:eastAsia="zh-CN"/>
        </w:rPr>
        <w:t>勘察</w:t>
      </w:r>
      <w:r>
        <w:rPr>
          <w:rFonts w:hint="eastAsia" w:ascii="Times New Roman" w:hAnsi="Times New Roman" w:eastAsia="仿宋_GB2312" w:cs="仿宋_GB2312"/>
          <w:sz w:val="32"/>
          <w:szCs w:val="40"/>
        </w:rPr>
        <w:t>：采用管线探测仪全面排查交叉区域的灌溉管网、排水设施、通信线缆等，明确设施走向、埋深及与道路结构的空间关系，评估挖掘对周边设施的影响范围（通常为设施外缘1.5m范围内）</w:t>
      </w: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rPr>
        <w:t>制定协同保护方案。管线左右各5米</w:t>
      </w:r>
      <w:r>
        <w:rPr>
          <w:rFonts w:hint="eastAsia" w:ascii="Times New Roman" w:hAnsi="Times New Roman" w:eastAsia="仿宋_GB2312" w:cs="仿宋_GB2312"/>
          <w:sz w:val="32"/>
          <w:szCs w:val="40"/>
          <w:lang w:eastAsia="zh-CN"/>
        </w:rPr>
        <w:t>范围</w:t>
      </w:r>
      <w:r>
        <w:rPr>
          <w:rFonts w:hint="eastAsia" w:ascii="Times New Roman" w:hAnsi="Times New Roman" w:eastAsia="仿宋_GB2312" w:cs="仿宋_GB2312"/>
          <w:sz w:val="32"/>
          <w:szCs w:val="40"/>
        </w:rPr>
        <w:t>内不得动土，确保设施安全。</w:t>
      </w:r>
    </w:p>
    <w:p w14:paraId="2E6F22A4">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二）专项方案编制</w:t>
      </w:r>
    </w:p>
    <w:p w14:paraId="4D7A541B">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1.方案内容</w:t>
      </w:r>
    </w:p>
    <w:p w14:paraId="2505B0F4">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施工方案需包含十二项核心内容：工程概况、勘察结果分析、挖掘工艺设计、地下设施保护措施、道路修复方案、绿地修复方案、交通疏导计划、节水措施、扬尘控制方案、应急预案、质量控制体系、进度计划。强盐渍土路段（含盐量＞0.7%）与重度盐碱化绿地（全盐量＞0.6%且pH＞9.0）必须修筑试验段验证方案可行性，道路试验段长度不小于50m（含不同结构层），绿地试验区域不小于200㎡（含3种以上植被类型）。方案中需明确古树名木保护的具体措施（如根系保护范围、灌溉补水方案）、盐碱地改良工艺参数（调理剂用量、改良深度）及灌溉系统修复的水力计算结果。</w:t>
      </w:r>
    </w:p>
    <w:p w14:paraId="27520D3B">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2.审查要求</w:t>
      </w:r>
    </w:p>
    <w:p w14:paraId="3A6F2E99">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方案需经住房和城乡建设局、城市管理局、自然资源规划局、应急管理局、交管部门等部门联合审查，重点内容包含以下几点：</w:t>
      </w:r>
    </w:p>
    <w:p w14:paraId="6655F06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（1）盐渍土处理措施：核查盐渍土挖除深度、换填材料规格、改良剂配比等参数的合理性，强盐渍土区域需提供室内试验报告。</w:t>
      </w:r>
    </w:p>
    <w:p w14:paraId="520FCC12">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（2）绿地植被保护：审查古树名木保护方案的科学性，移植苗木的品种选择、土球规格及养护措施是否符合标准。</w:t>
      </w:r>
    </w:p>
    <w:p w14:paraId="62D71A3E">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（3）地下设施保护：评估管线防护措施的可靠性，高压管线（燃气、供水）的专项加固方案是否满足安全要求。</w:t>
      </w:r>
    </w:p>
    <w:p w14:paraId="1525CD9A">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（4）节水灌溉设计：核查微灌系统的管网布置、压力计算、自动化控制方案是否符合南疆干旱地区要求。</w:t>
      </w:r>
    </w:p>
    <w:p w14:paraId="4BFBF8F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（5）安全应急措施：审查交通疏导、坍塌应急、火灾防控等预案的可操作性。涉及古树名木的，需由古树名木主管部门单独审查保护方案，一级古树名木保护方案需报</w:t>
      </w:r>
      <w:r>
        <w:rPr>
          <w:rFonts w:hint="eastAsia" w:cs="仿宋_GB2312"/>
          <w:sz w:val="32"/>
          <w:szCs w:val="40"/>
          <w:lang w:val="en-US" w:eastAsia="zh-CN"/>
        </w:rPr>
        <w:t>兵团</w:t>
      </w:r>
      <w:r>
        <w:rPr>
          <w:rFonts w:hint="eastAsia" w:ascii="Times New Roman" w:hAnsi="Times New Roman" w:eastAsia="仿宋_GB2312" w:cs="仿宋_GB2312"/>
          <w:sz w:val="32"/>
          <w:szCs w:val="40"/>
          <w:lang w:val="en-US" w:eastAsia="zh-CN"/>
        </w:rPr>
        <w:t>主管部门备案。</w:t>
      </w:r>
    </w:p>
    <w:p w14:paraId="39C2E94A">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三）</w:t>
      </w:r>
      <w:r>
        <w:rPr>
          <w:rFonts w:hint="eastAsia" w:ascii="楷体_GB2312" w:hAnsi="楷体_GB2312" w:eastAsia="楷体_GB2312" w:cs="楷体_GB2312"/>
          <w:sz w:val="32"/>
          <w:szCs w:val="40"/>
        </w:rPr>
        <w:t>现场准备与标识设置</w:t>
      </w:r>
    </w:p>
    <w:p w14:paraId="0BFF3148">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b/>
          <w:bCs/>
          <w:sz w:val="32"/>
          <w:szCs w:val="40"/>
          <w:lang w:val="en-US" w:eastAsia="zh-CN"/>
        </w:rPr>
        <w:t>1.道路施工准备</w:t>
      </w:r>
    </w:p>
    <w:p w14:paraId="1CB9438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jc w:val="both"/>
        <w:textAlignment w:val="auto"/>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val="0"/>
          <w:bCs w:val="0"/>
          <w:sz w:val="32"/>
          <w:szCs w:val="40"/>
          <w:lang w:val="en-US" w:eastAsia="zh-CN"/>
        </w:rPr>
        <w:t>（1）</w:t>
      </w:r>
      <w:r>
        <w:rPr>
          <w:rFonts w:hint="eastAsia" w:ascii="Times New Roman" w:hAnsi="Times New Roman" w:eastAsia="仿宋_GB2312" w:cs="仿宋_GB2312"/>
          <w:b w:val="0"/>
          <w:bCs w:val="0"/>
          <w:sz w:val="32"/>
          <w:szCs w:val="40"/>
        </w:rPr>
        <w:t>安全围挡设置：</w:t>
      </w:r>
      <w:r>
        <w:rPr>
          <w:rFonts w:hint="eastAsia" w:ascii="Times New Roman" w:hAnsi="Times New Roman" w:eastAsia="仿宋_GB2312" w:cs="仿宋_GB2312"/>
          <w:snapToGrid w:val="0"/>
          <w:kern w:val="0"/>
          <w:sz w:val="32"/>
          <w:szCs w:val="32"/>
          <w:lang w:val="en-US" w:eastAsia="zh-CN" w:bidi="ar-SA"/>
        </w:rPr>
        <w:t>占用挖掘城市道路和绿地，在工程实施前以及施工现场应当按照规定设置安全警示标志和防护设施，并按照《第一师阿拉尔市城市道路和绿地占用挖掘管理办法（试行）》标准安装施工围挡和公示牌。</w:t>
      </w:r>
    </w:p>
    <w:p w14:paraId="3BFFEC07">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rPr>
      </w:pPr>
      <w:r>
        <w:rPr>
          <w:rFonts w:hint="eastAsia" w:ascii="Times New Roman" w:hAnsi="Times New Roman" w:eastAsia="仿宋_GB2312" w:cs="仿宋_GB2312"/>
          <w:b w:val="0"/>
          <w:bCs w:val="0"/>
          <w:sz w:val="32"/>
          <w:szCs w:val="40"/>
          <w:lang w:eastAsia="zh-CN"/>
        </w:rPr>
        <w:t>（</w:t>
      </w:r>
      <w:r>
        <w:rPr>
          <w:rFonts w:hint="eastAsia" w:ascii="Times New Roman" w:hAnsi="Times New Roman" w:eastAsia="仿宋_GB2312" w:cs="仿宋_GB2312"/>
          <w:b w:val="0"/>
          <w:bCs w:val="0"/>
          <w:sz w:val="32"/>
          <w:szCs w:val="40"/>
          <w:lang w:val="en-US" w:eastAsia="zh-CN"/>
        </w:rPr>
        <w:t>2）</w:t>
      </w:r>
      <w:r>
        <w:rPr>
          <w:rFonts w:hint="eastAsia" w:ascii="Times New Roman" w:hAnsi="Times New Roman" w:eastAsia="仿宋_GB2312" w:cs="仿宋_GB2312"/>
          <w:b w:val="0"/>
          <w:bCs w:val="0"/>
          <w:sz w:val="32"/>
          <w:szCs w:val="40"/>
        </w:rPr>
        <w:t>设备储备：配备振动压路机（激振力≥30t）、蛙式打夯机（夯击力≥15kN）、小型挖掘机（斗容≤0.5m³）等设备，强盐渍土区域额外配备土壤改良搅拌设备（搅拌深度≥1m）。</w:t>
      </w:r>
    </w:p>
    <w:p w14:paraId="27E33952">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rPr>
      </w:pPr>
      <w:r>
        <w:rPr>
          <w:rFonts w:hint="eastAsia" w:ascii="Times New Roman" w:hAnsi="Times New Roman" w:eastAsia="仿宋_GB2312" w:cs="仿宋_GB2312"/>
          <w:b w:val="0"/>
          <w:bCs w:val="0"/>
          <w:sz w:val="32"/>
          <w:szCs w:val="40"/>
          <w:lang w:eastAsia="zh-CN"/>
        </w:rPr>
        <w:t>（</w:t>
      </w:r>
      <w:r>
        <w:rPr>
          <w:rFonts w:hint="eastAsia" w:ascii="Times New Roman" w:hAnsi="Times New Roman" w:eastAsia="仿宋_GB2312" w:cs="仿宋_GB2312"/>
          <w:b w:val="0"/>
          <w:bCs w:val="0"/>
          <w:sz w:val="32"/>
          <w:szCs w:val="40"/>
          <w:lang w:val="en-US" w:eastAsia="zh-CN"/>
        </w:rPr>
        <w:t>3）</w:t>
      </w:r>
      <w:r>
        <w:rPr>
          <w:rFonts w:hint="eastAsia" w:ascii="Times New Roman" w:hAnsi="Times New Roman" w:eastAsia="仿宋_GB2312" w:cs="仿宋_GB2312"/>
          <w:b w:val="0"/>
          <w:bCs w:val="0"/>
          <w:sz w:val="32"/>
          <w:szCs w:val="40"/>
        </w:rPr>
        <w:t>材料储备：储备级配砂石（含泥量≤5%）、石膏（纯度≥85%）、腐殖酸（有机质含量≥60%）等盐渍土改良材料，材料存储需覆盖防雨布，避免受潮。</w:t>
      </w:r>
    </w:p>
    <w:p w14:paraId="35F9699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rPr>
      </w:pPr>
      <w:r>
        <w:rPr>
          <w:rFonts w:hint="eastAsia" w:ascii="Times New Roman" w:hAnsi="Times New Roman" w:eastAsia="仿宋_GB2312" w:cs="仿宋_GB2312"/>
          <w:b w:val="0"/>
          <w:bCs w:val="0"/>
          <w:sz w:val="32"/>
          <w:szCs w:val="40"/>
          <w:lang w:eastAsia="zh-CN"/>
        </w:rPr>
        <w:t>（</w:t>
      </w:r>
      <w:r>
        <w:rPr>
          <w:rFonts w:hint="eastAsia" w:ascii="Times New Roman" w:hAnsi="Times New Roman" w:eastAsia="仿宋_GB2312" w:cs="仿宋_GB2312"/>
          <w:b w:val="0"/>
          <w:bCs w:val="0"/>
          <w:sz w:val="32"/>
          <w:szCs w:val="40"/>
          <w:lang w:val="en-US" w:eastAsia="zh-CN"/>
        </w:rPr>
        <w:t>4）</w:t>
      </w:r>
      <w:r>
        <w:rPr>
          <w:rFonts w:hint="eastAsia" w:ascii="Times New Roman" w:hAnsi="Times New Roman" w:eastAsia="仿宋_GB2312" w:cs="仿宋_GB2312"/>
          <w:b w:val="0"/>
          <w:bCs w:val="0"/>
          <w:sz w:val="32"/>
          <w:szCs w:val="40"/>
        </w:rPr>
        <w:t>排水设施：准备集水井（尺寸1m×1m×1.5m）、潜水泵（扬程≥10m）、排水软管等设施，强盐渍土区域需额外准备沉淀池（容积≥5m³）。</w:t>
      </w:r>
    </w:p>
    <w:p w14:paraId="2C6A592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eastAsia="zh-CN"/>
        </w:rPr>
        <w:t>（</w:t>
      </w:r>
      <w:r>
        <w:rPr>
          <w:rFonts w:hint="eastAsia" w:ascii="Times New Roman" w:hAnsi="Times New Roman" w:eastAsia="仿宋_GB2312" w:cs="仿宋_GB2312"/>
          <w:b w:val="0"/>
          <w:bCs w:val="0"/>
          <w:sz w:val="32"/>
          <w:szCs w:val="40"/>
          <w:lang w:val="en-US" w:eastAsia="zh-CN"/>
        </w:rPr>
        <w:t>5）</w:t>
      </w:r>
      <w:r>
        <w:rPr>
          <w:rFonts w:hint="eastAsia" w:ascii="Times New Roman" w:hAnsi="Times New Roman" w:eastAsia="仿宋_GB2312" w:cs="仿宋_GB2312"/>
          <w:b w:val="0"/>
          <w:bCs w:val="0"/>
          <w:sz w:val="32"/>
          <w:szCs w:val="40"/>
        </w:rPr>
        <w:t>节水措施：设置施工用水沉淀池（循环利用率≥80%），配备水表实时监控用水量，干旱季节（蒸发量＞200mm/月）需储备应急用水（≥50m³/千平方米）。</w:t>
      </w:r>
    </w:p>
    <w:p w14:paraId="7BC71E1D">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0"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2.绿地施工准备</w:t>
      </w:r>
    </w:p>
    <w:p w14:paraId="1FBE7385">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0" w:firstLine="632" w:firstLineChars="200"/>
        <w:textAlignment w:val="auto"/>
        <w:rPr>
          <w:rFonts w:hint="eastAsia" w:ascii="Times New Roman" w:hAnsi="Times New Roman" w:eastAsia="仿宋_GB2312" w:cs="仿宋_GB2312"/>
          <w:snapToGrid w:val="0"/>
          <w:kern w:val="0"/>
          <w:sz w:val="32"/>
          <w:szCs w:val="32"/>
          <w:lang w:val="en-US" w:eastAsia="zh-CN" w:bidi="ar-SA"/>
        </w:rPr>
      </w:pPr>
      <w:r>
        <w:rPr>
          <w:rFonts w:hint="eastAsia" w:ascii="Times New Roman" w:hAnsi="Times New Roman" w:eastAsia="仿宋_GB2312" w:cs="仿宋_GB2312"/>
          <w:b w:val="0"/>
          <w:bCs w:val="0"/>
          <w:sz w:val="32"/>
          <w:szCs w:val="40"/>
          <w:lang w:val="en-US" w:eastAsia="zh-CN"/>
        </w:rPr>
        <w:t>（1）绿地施工前应划定保护区域，对保留植被设置硬质围挡防护，围挡距树干距离不小于1.5倍胸径，并在</w:t>
      </w:r>
      <w:r>
        <w:rPr>
          <w:rFonts w:hint="eastAsia" w:ascii="Times New Roman" w:hAnsi="Times New Roman" w:eastAsia="仿宋_GB2312" w:cs="仿宋_GB2312"/>
          <w:sz w:val="32"/>
          <w:szCs w:val="32"/>
        </w:rPr>
        <w:t>围挡醒目位置（主出入口两侧）</w:t>
      </w:r>
      <w:r>
        <w:rPr>
          <w:rFonts w:hint="eastAsia" w:ascii="Times New Roman" w:hAnsi="Times New Roman" w:eastAsia="仿宋_GB2312" w:cs="仿宋_GB2312"/>
          <w:sz w:val="32"/>
          <w:szCs w:val="32"/>
          <w:lang w:val="en-US" w:eastAsia="zh-CN"/>
        </w:rPr>
        <w:t>处</w:t>
      </w:r>
      <w:r>
        <w:rPr>
          <w:rFonts w:hint="eastAsia" w:ascii="Times New Roman" w:hAnsi="Times New Roman" w:eastAsia="仿宋_GB2312" w:cs="仿宋_GB2312"/>
          <w:snapToGrid w:val="0"/>
          <w:kern w:val="0"/>
          <w:sz w:val="32"/>
          <w:szCs w:val="32"/>
          <w:lang w:val="en-US" w:eastAsia="zh-CN" w:bidi="ar-SA"/>
        </w:rPr>
        <w:t>按照《第一师阿拉尔市城市道路和绿地占用挖掘管理办法（试行）》标准安装施工公示牌。</w:t>
      </w:r>
    </w:p>
    <w:p w14:paraId="1C5C2A53">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0"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2）提前移植需临时迁移的植物，移植苗木应带土球，土球直径为乔木胸径的8-10倍、灌木地径的6-8倍，移植后及时浇水养护；储备客土、有机肥、改良剂及耐旱苗木，配备滴灌设备。从疆外购进的苗木，必须通过检疫，并且在本地苗圃驯化三年以上方可栽植。</w:t>
      </w:r>
    </w:p>
    <w:p w14:paraId="5C701832">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3.地下设施保护准备</w:t>
      </w:r>
    </w:p>
    <w:p w14:paraId="20C1097E">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对探明的地下管线、灌溉管网等设施，应采用彩色喷漆标识位置，设置警示桩，桩间距不大于5m；准备专用支架、防护垫层等保护材料，对燃气、供水等高压管线需制定专项加固方案。灌溉管网材料进场前需核查出厂合格证、性能检测报告，HDPE管需提供静液压强度试验报告（温度80℃、压力1.0MPa条件下保压165h无破裂）。</w:t>
      </w:r>
    </w:p>
    <w:p w14:paraId="08B2146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四）</w:t>
      </w:r>
      <w:r>
        <w:rPr>
          <w:rFonts w:hint="eastAsia" w:ascii="楷体_GB2312" w:hAnsi="楷体_GB2312" w:eastAsia="楷体_GB2312" w:cs="楷体_GB2312"/>
          <w:sz w:val="32"/>
          <w:szCs w:val="40"/>
        </w:rPr>
        <w:t>道路占用技术要求</w:t>
      </w:r>
    </w:p>
    <w:p w14:paraId="30EDF608">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1.</w:t>
      </w:r>
      <w:r>
        <w:rPr>
          <w:rFonts w:hint="eastAsia" w:ascii="仿宋_GB2312" w:hAnsi="仿宋_GB2312" w:eastAsia="仿宋_GB2312" w:cs="仿宋_GB2312"/>
          <w:b/>
          <w:bCs/>
          <w:sz w:val="32"/>
          <w:szCs w:val="40"/>
        </w:rPr>
        <w:t>占用范围</w:t>
      </w:r>
    </w:p>
    <w:p w14:paraId="57E90808">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占用车行道的，单次占用宽度不得超过原路面宽度的1/3，且需保留双向至少1条通行车道；占用人行道的，不得堵塞盲道及消防通道。</w:t>
      </w:r>
    </w:p>
    <w:p w14:paraId="479AB719">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2.</w:t>
      </w:r>
      <w:r>
        <w:rPr>
          <w:rFonts w:hint="eastAsia" w:ascii="仿宋_GB2312" w:hAnsi="仿宋_GB2312" w:eastAsia="仿宋_GB2312" w:cs="仿宋_GB2312"/>
          <w:b/>
          <w:bCs/>
          <w:sz w:val="32"/>
          <w:szCs w:val="40"/>
        </w:rPr>
        <w:t>占用区域管理</w:t>
      </w:r>
    </w:p>
    <w:p w14:paraId="0E967904">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1）占道施工工地围挡实行“即围即建、建成即拆”，不得“围而不建、建成不拆”；</w:t>
      </w:r>
    </w:p>
    <w:p w14:paraId="774965E7">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2）</w:t>
      </w:r>
      <w:r>
        <w:rPr>
          <w:rFonts w:hint="eastAsia" w:ascii="Times New Roman" w:hAnsi="Times New Roman" w:eastAsia="仿宋_GB2312" w:cs="仿宋_GB2312"/>
          <w:sz w:val="32"/>
          <w:szCs w:val="40"/>
        </w:rPr>
        <w:t>占用区域内严禁堆放易燃、易爆物品，施工材料堆放高度≤1.5m，距围挡≥0.5m，不得占用未批准区域</w:t>
      </w:r>
      <w:r>
        <w:rPr>
          <w:rFonts w:hint="eastAsia" w:ascii="Times New Roman" w:hAnsi="Times New Roman" w:eastAsia="仿宋_GB2312" w:cs="仿宋_GB2312"/>
          <w:sz w:val="32"/>
          <w:szCs w:val="40"/>
          <w:lang w:eastAsia="zh-CN"/>
        </w:rPr>
        <w:t>；</w:t>
      </w:r>
    </w:p>
    <w:p w14:paraId="00F7933A">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3）</w:t>
      </w:r>
      <w:r>
        <w:rPr>
          <w:rFonts w:hint="eastAsia" w:ascii="Times New Roman" w:hAnsi="Times New Roman" w:eastAsia="仿宋_GB2312" w:cs="仿宋_GB2312"/>
          <w:sz w:val="32"/>
          <w:szCs w:val="40"/>
        </w:rPr>
        <w:t>每日施工结束后清理现场，做到“工完料净、场地清”，洒水降尘，裸露地面覆盖防尘网</w:t>
      </w:r>
      <w:r>
        <w:rPr>
          <w:rFonts w:hint="eastAsia" w:ascii="Times New Roman" w:hAnsi="Times New Roman" w:eastAsia="仿宋_GB2312" w:cs="仿宋_GB2312"/>
          <w:sz w:val="32"/>
          <w:szCs w:val="40"/>
          <w:lang w:eastAsia="zh-CN"/>
        </w:rPr>
        <w:t>；</w:t>
      </w:r>
    </w:p>
    <w:p w14:paraId="4D1CD153">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4）</w:t>
      </w:r>
      <w:r>
        <w:rPr>
          <w:rFonts w:hint="eastAsia" w:ascii="Times New Roman" w:hAnsi="Times New Roman" w:eastAsia="仿宋_GB2312" w:cs="仿宋_GB2312"/>
          <w:sz w:val="32"/>
          <w:szCs w:val="40"/>
        </w:rPr>
        <w:t>园林绿化占用期间，对保留苗木每周浇水1次，高温季节增设遮阳网，避免机械碰撞根系</w:t>
      </w:r>
      <w:r>
        <w:rPr>
          <w:rFonts w:hint="eastAsia" w:ascii="Times New Roman" w:hAnsi="Times New Roman" w:eastAsia="仿宋_GB2312" w:cs="仿宋_GB2312"/>
          <w:sz w:val="32"/>
          <w:szCs w:val="40"/>
          <w:lang w:eastAsia="zh-CN"/>
        </w:rPr>
        <w:t>；</w:t>
      </w:r>
    </w:p>
    <w:p w14:paraId="0F8A881F">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（5）施工单位应当切实做好准备工作，在施工期间，不得因施工人员、机械、材料准备不足等停工；</w:t>
      </w:r>
    </w:p>
    <w:p w14:paraId="1758CE29">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（6）施工单位应当采取动态管理方式，根据工程进展情况，适时缩小围挡面积。</w:t>
      </w:r>
    </w:p>
    <w:p w14:paraId="7F3E2105">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val="en-US" w:eastAsia="zh-CN"/>
        </w:rPr>
        <w:t>（五）道路</w:t>
      </w:r>
      <w:r>
        <w:rPr>
          <w:rFonts w:hint="eastAsia" w:ascii="楷体_GB2312" w:hAnsi="楷体_GB2312" w:eastAsia="楷体_GB2312" w:cs="楷体_GB2312"/>
          <w:sz w:val="32"/>
          <w:szCs w:val="40"/>
        </w:rPr>
        <w:t>挖掘</w:t>
      </w:r>
      <w:r>
        <w:rPr>
          <w:rFonts w:hint="eastAsia" w:ascii="楷体_GB2312" w:hAnsi="楷体_GB2312" w:eastAsia="楷体_GB2312" w:cs="楷体_GB2312"/>
          <w:sz w:val="32"/>
          <w:szCs w:val="40"/>
          <w:lang w:val="en-US" w:eastAsia="zh-CN"/>
        </w:rPr>
        <w:t>施工</w:t>
      </w:r>
      <w:r>
        <w:rPr>
          <w:rFonts w:hint="eastAsia" w:ascii="楷体_GB2312" w:hAnsi="楷体_GB2312" w:eastAsia="楷体_GB2312" w:cs="楷体_GB2312"/>
          <w:sz w:val="32"/>
          <w:szCs w:val="40"/>
        </w:rPr>
        <w:t>技术要求</w:t>
      </w:r>
    </w:p>
    <w:p w14:paraId="3F36185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1.</w:t>
      </w:r>
      <w:r>
        <w:rPr>
          <w:rFonts w:hint="eastAsia" w:ascii="仿宋_GB2312" w:hAnsi="仿宋_GB2312" w:eastAsia="仿宋_GB2312" w:cs="仿宋_GB2312"/>
          <w:b/>
          <w:bCs/>
          <w:sz w:val="32"/>
          <w:szCs w:val="40"/>
        </w:rPr>
        <w:t>挖掘作业规范</w:t>
      </w:r>
    </w:p>
    <w:p w14:paraId="4380706E">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1）</w:t>
      </w:r>
      <w:r>
        <w:rPr>
          <w:rFonts w:hint="eastAsia" w:ascii="Times New Roman" w:hAnsi="Times New Roman" w:eastAsia="仿宋_GB2312" w:cs="仿宋_GB2312"/>
          <w:sz w:val="32"/>
          <w:szCs w:val="40"/>
        </w:rPr>
        <w:t>挖掘范围控制：挖掘应严格按审批范围施工，车行道沟槽底部宽度不应小于1m，顶部宽度不小于2.2m，宽度小于1m时需采用特殊改良材料回填；挖掘边界线与道路标线平行或垂直，偏差不超过±5cm。</w:t>
      </w:r>
    </w:p>
    <w:p w14:paraId="02705EDA">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2）挖掘精度设定：</w:t>
      </w:r>
      <w:r>
        <w:rPr>
          <w:rFonts w:hint="eastAsia" w:ascii="Times New Roman" w:hAnsi="Times New Roman" w:eastAsia="仿宋_GB2312" w:cs="仿宋_GB2312"/>
          <w:sz w:val="32"/>
          <w:szCs w:val="40"/>
        </w:rPr>
        <w:t>按设计边界撒白灰标记，全站仪复核偏差≤5cm；挖掘深度严格按设计执行，机械开挖至距设计标高20cm处停止，改用人工修整，超挖部分需用级配砂石回填压实（压实度≥95%），严禁原土回填。</w:t>
      </w:r>
    </w:p>
    <w:p w14:paraId="304DFC91">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（2）</w:t>
      </w:r>
      <w:r>
        <w:rPr>
          <w:rFonts w:hint="eastAsia" w:ascii="Times New Roman" w:hAnsi="Times New Roman" w:eastAsia="仿宋_GB2312" w:cs="仿宋_GB2312"/>
          <w:sz w:val="32"/>
          <w:szCs w:val="40"/>
        </w:rPr>
        <w:t>挖掘方式选择：管线埋深＜1m时，必须采用人工破除路面，严禁机械直接破碎；埋深≥1m时可采用机械开挖，但距管线30cm范围内需改为人工掏槽；盐渍土区域开挖应分层作业，每层深度不超过30cm，及时清运含盐弃土，避免污染施工区域。</w:t>
      </w:r>
    </w:p>
    <w:p w14:paraId="53738C53">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lang w:val="en-US" w:eastAsia="zh-CN"/>
        </w:rPr>
        <w:t>（3）</w:t>
      </w:r>
      <w:r>
        <w:rPr>
          <w:rFonts w:hint="eastAsia" w:ascii="Times New Roman" w:hAnsi="Times New Roman" w:eastAsia="仿宋_GB2312" w:cs="仿宋_GB2312"/>
          <w:sz w:val="32"/>
          <w:szCs w:val="40"/>
        </w:rPr>
        <w:t>挖掘坡度要求：槽深≤2m时可采用直槽开挖；槽深＞2m且≤5m时，放坡坡度不小于1:0.5；槽深＞5m时，放坡坡度不小于1:1，强盐渍土区域坡度应加大10%。卵石层段沟槽开挖需采用钢板桩支护，边坡比按1:0.75控制。</w:t>
      </w:r>
    </w:p>
    <w:p w14:paraId="6CB8253F">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2.沥青路面挖掘</w:t>
      </w:r>
    </w:p>
    <w:p w14:paraId="455218F3">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1）面层挖掘：采用液压破碎锤破除，破碎块粒径≤30cm，避免扰动基层；局部病害处理：裂缝宽度≤5mm直接注修补剂，＞5mm切割V型槽（深度≥10mm）后填充；沉降区域破除破损面层，保留完好基层，边缘切割平整。</w:t>
      </w:r>
    </w:p>
    <w:p w14:paraId="2D32D2B2">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2）基层与路基挖掘：水泥稳定碎石基层采用风镐破碎，严禁机械强击；盐渍土路基需全断面开挖，边界超出病害区域1m以上，分层取样检测盐含量并记录；风积沙路基挖掘按“分层开挖、即时压实”原则，每层厚度≤30cm，防止沙层坍塌。</w:t>
      </w:r>
    </w:p>
    <w:p w14:paraId="5A920C7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3）特殊情况处理：挖掘遇地下水渗出时，坑底设50cm×50cm×80cm集水井，配备扬程≥5m潜水泵排水；临近燃气管道区域，机械与管线水平距离≥1.5m，切换人工开挖，可燃气体检测仪实时监测，浓度≤爆炸下限10%方可作业。</w:t>
      </w:r>
    </w:p>
    <w:p w14:paraId="61FA57F7">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3.混凝土路面挖掘</w:t>
      </w:r>
    </w:p>
    <w:p w14:paraId="127A00A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（1）板块切割：采用金刚石锯片切割机切割，切割线距病害边缘≥50cm，深度贯穿面层，切口平整无崩边；整体破碎板块切割为1m×1m方块，便于吊装移除。</w:t>
      </w:r>
    </w:p>
    <w:p w14:paraId="4E741D19">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（2）板块与钢筋处理：用液压千斤顶顶起板块，装载机移除，避免冲击基层；基层松散区域同步开挖，深度≥30cm；钢筋网锈蚀率≥10%时切除锈蚀段，新钢筋搭接长度≥30d，电弧焊连接，接头强度符合设计要求。</w:t>
      </w:r>
    </w:p>
    <w:p w14:paraId="73F42F6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4.人行道与支路挖掘</w:t>
      </w:r>
    </w:p>
    <w:p w14:paraId="362CB1A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人行道透水砖路面采用人工撬起地砖，分类堆放回收，基层挖掘避免损伤地下管线；乡村砂石路挖掘采用小型挖掘机配合人工，分层开挖，保留可用砂石料用于回填。</w:t>
      </w:r>
    </w:p>
    <w:p w14:paraId="6C1A554F">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5.特殊地质区域挖掘</w:t>
      </w:r>
    </w:p>
    <w:p w14:paraId="2C8AAA5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（1）盐渍土区域挖掘：弱盐渍土（含盐量0.3%—1%）：挖掘后基底撒粉煤灰改良剂（掺量8%—10%），机械搅拌均匀。强盐渍土（含盐量＞5%）：采用“水浸预溶+强夯”工艺，先注水溶解盐分，排水后强夯（夯击能30 0kN·m），再进行后续作业；挖掘过程中做好排水，防止盐水渗漏污染周边土壤。</w:t>
      </w:r>
    </w:p>
    <w:p w14:paraId="74963327">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2）冻土区域挖掘：未冻土化区域采用液压破碎锤破碎冻土块，粒径≤40cm，及时清运避免融化后影响基底。冻融过渡区域：分段开挖，每段长度≤20m，开挖后立即铺设XPS隔热板（厚度5cm）覆盖基底，防止冻融循环破坏。</w:t>
      </w:r>
    </w:p>
    <w:p w14:paraId="70C7744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（3）风积沙区域挖掘：采用“阶梯式开挖”，边坡坡度1:1.5，每层高度≤50cm，开挖后坡面覆盖防尘网并压实；基底采用干法压实，YZ20振动压路机碾压6-8遍，压实度≥95%，必要时掺砾石（掺量15%—20%）改良。</w:t>
      </w:r>
    </w:p>
    <w:p w14:paraId="519F829C">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6.沟槽支护与排水</w:t>
      </w:r>
    </w:p>
    <w:p w14:paraId="79CA7D88">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1）支护设置要求：地下水位高于槽底时，应先设置集水井排水再施工，集水井间距不大于20m，深度比槽底低1m；槽深超过2m时需采用钢板桩支护，钢板桩长度应超出槽深1.5m，强盐渍土区域支护结构需涂刷防腐涂料。卵石层段采用SP-Ⅳ型拉森桩，长度6m，入土深度4m，桩顶设置横向支撑（双拼10#槽钢）。</w:t>
      </w:r>
    </w:p>
    <w:p w14:paraId="387D6A2C">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2）排水系统设计：施工期间应保持沟槽干燥，采用明沟与集水井结合的排水方式，明沟宽度20cm、深度30cm，坡度不小于3‰；强盐渍土区域排水需设置沉淀池，防止含盐污水污染周边土壤。集水井尺寸1m×1m×1.5m，配备Φ100mm潜水泵（扬程≥10m），确保地下水位低于基底500mm。</w:t>
      </w:r>
    </w:p>
    <w:p w14:paraId="18EAC4D9">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7.地下管线保护技术</w:t>
      </w:r>
    </w:p>
    <w:p w14:paraId="3C3E79BF">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（1）设施暴露与标识：挖掘中发现未探明设施，应立即停工并联系产权单位，严禁擅自移动或破坏；对燃气、通信等重要管线，需采用人工掏槽方式暴露，暴露后设置专用支架固定，悬挂警示标识。</w:t>
      </w:r>
    </w:p>
    <w:p w14:paraId="3E8A4688">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2）挖掘过程保护：机械开挖至管顶以上0.5m时切换人工开挖，使用洛阳铲清理管周土方；管线保护员全程旁站，挖掘机与管线水平距离≥1.5m，禁止垂直上方作业；每2小时用轻型触探仪检测管周土体稳定性（锤击数N≥15击为稳定），土体松散立即用沙袋回填夯实（压实度≥93%）。</w:t>
      </w:r>
    </w:p>
    <w:p w14:paraId="1F4AC583">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b w:val="0"/>
          <w:bCs w:val="0"/>
          <w:sz w:val="32"/>
          <w:szCs w:val="40"/>
        </w:rPr>
      </w:pPr>
      <w:r>
        <w:rPr>
          <w:rFonts w:hint="eastAsia" w:ascii="楷体_GB2312" w:hAnsi="楷体_GB2312" w:eastAsia="楷体_GB2312" w:cs="楷体_GB2312"/>
          <w:b w:val="0"/>
          <w:bCs w:val="0"/>
          <w:sz w:val="32"/>
          <w:szCs w:val="40"/>
          <w:lang w:eastAsia="zh-CN"/>
        </w:rPr>
        <w:t>（</w:t>
      </w:r>
      <w:r>
        <w:rPr>
          <w:rFonts w:hint="eastAsia" w:ascii="楷体_GB2312" w:hAnsi="楷体_GB2312" w:eastAsia="楷体_GB2312" w:cs="楷体_GB2312"/>
          <w:b w:val="0"/>
          <w:bCs w:val="0"/>
          <w:sz w:val="32"/>
          <w:szCs w:val="40"/>
          <w:lang w:val="en-US" w:eastAsia="zh-CN"/>
        </w:rPr>
        <w:t>六）</w:t>
      </w:r>
      <w:r>
        <w:rPr>
          <w:rFonts w:hint="eastAsia" w:ascii="楷体_GB2312" w:hAnsi="楷体_GB2312" w:eastAsia="楷体_GB2312" w:cs="楷体_GB2312"/>
          <w:b w:val="0"/>
          <w:bCs w:val="0"/>
          <w:sz w:val="32"/>
          <w:szCs w:val="40"/>
        </w:rPr>
        <w:t>绿地挖掘施工技术要求</w:t>
      </w:r>
    </w:p>
    <w:p w14:paraId="5DDCCD41">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1.植被保护优先</w:t>
      </w:r>
    </w:p>
    <w:p w14:paraId="285F0139">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避开植被生长关键期，乔木移植需提前3天浇水，按“疏枝－断根－起球”流程处理，断根范围为土球直径1.5倍，土球用草绳包扎，优先移植古树名木、乡土树种及珍贵苗木，移植成活率应达到95%以上；无法移植的植物应设置永久性保护设施，保护范围为树冠投影外1m。古树名木原则上实行原地保护，不得移植，确需移植的需按保护等级报相关单位批准。</w:t>
      </w:r>
    </w:p>
    <w:p w14:paraId="27A928E3">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2.挖掘方式选择</w:t>
      </w:r>
    </w:p>
    <w:p w14:paraId="0226EC3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（1）小型种植穴（灌木、地被）：采用人工开挖，铁锹作业避免土壤结构破坏，穴径比土球大30cm，深度比土球高20cm</w:t>
      </w:r>
      <w:r>
        <w:rPr>
          <w:rFonts w:hint="eastAsia" w:cs="仿宋_GB2312"/>
          <w:sz w:val="32"/>
          <w:szCs w:val="40"/>
          <w:lang w:val="en-US" w:eastAsia="zh-CN"/>
        </w:rPr>
        <w:t>；</w:t>
      </w:r>
    </w:p>
    <w:p w14:paraId="71E0483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（2）沟槽开挖（管线铺设）：直线段采用小型挖掘机开挖，弯道及植被密集区人工开挖，沟槽宽度按管线直径+60cm控制</w:t>
      </w:r>
      <w:r>
        <w:rPr>
          <w:rFonts w:hint="eastAsia" w:cs="仿宋_GB2312"/>
          <w:sz w:val="32"/>
          <w:szCs w:val="40"/>
          <w:lang w:val="en-US" w:eastAsia="zh-CN"/>
        </w:rPr>
        <w:t>；</w:t>
      </w:r>
    </w:p>
    <w:p w14:paraId="0D4996D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（3）大面积场地开挖：机械开挖配合人工修整，保留表层30cm种植土单独堆放，用于后期回填</w:t>
      </w:r>
      <w:r>
        <w:rPr>
          <w:rFonts w:hint="eastAsia" w:cs="仿宋_GB2312"/>
          <w:sz w:val="32"/>
          <w:szCs w:val="40"/>
          <w:lang w:val="en-US" w:eastAsia="zh-CN"/>
        </w:rPr>
        <w:t>；</w:t>
      </w:r>
    </w:p>
    <w:p w14:paraId="5F16BAB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绿地挖掘应采用人工为主、机械辅助的方式，机械作业需远离苗木根系</w:t>
      </w:r>
      <w:r>
        <w:rPr>
          <w:rFonts w:hint="eastAsia" w:cs="仿宋_GB2312"/>
          <w:sz w:val="32"/>
          <w:szCs w:val="40"/>
          <w:lang w:val="en-US" w:eastAsia="zh-CN"/>
        </w:rPr>
        <w:t>。</w:t>
      </w:r>
    </w:p>
    <w:p w14:paraId="5E11C761">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3.土方与植被管理</w:t>
      </w:r>
    </w:p>
    <w:p w14:paraId="13F316DB">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表层种植土与底层土分开堆放，距离坑边≥1.5m，堆放高度≤1.2m，盐渍土单独标识存放。需移栽植被移至临时苗圃养护，苗圃配备滴灌系统与遮荫设施，移栽存活率≥90%；移除植被按规定办理审批手续，胸径≥10cm乔木需报绿化主管部门备案。挖掘过程中应将表土（0-30cm）与底土分开堆放，表土堆放高度不超过1.5m，避免压实；堆放期间需覆盖土工布防止扬尘与盐分表聚，雨后及时排水防止盐渍化加剧。</w:t>
      </w:r>
    </w:p>
    <w:p w14:paraId="13D4B09E">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leftChars="304"/>
        <w:textAlignment w:val="auto"/>
        <w:rPr>
          <w:rFonts w:hint="eastAsia" w:ascii="仿宋_GB2312" w:hAnsi="仿宋_GB2312" w:eastAsia="仿宋_GB2312" w:cs="仿宋_GB2312"/>
          <w:b/>
          <w:bCs/>
          <w:sz w:val="32"/>
          <w:szCs w:val="40"/>
          <w:lang w:val="en-US" w:eastAsia="zh-CN"/>
        </w:rPr>
      </w:pPr>
      <w:r>
        <w:rPr>
          <w:rFonts w:hint="eastAsia" w:ascii="仿宋_GB2312" w:hAnsi="仿宋_GB2312" w:cs="仿宋_GB2312"/>
          <w:b/>
          <w:bCs/>
          <w:sz w:val="32"/>
          <w:szCs w:val="40"/>
          <w:lang w:val="en-US" w:eastAsia="zh-CN"/>
        </w:rPr>
        <w:t>4.</w:t>
      </w:r>
      <w:r>
        <w:rPr>
          <w:rFonts w:hint="eastAsia" w:ascii="仿宋_GB2312" w:hAnsi="仿宋_GB2312" w:eastAsia="仿宋_GB2312" w:cs="仿宋_GB2312"/>
          <w:b/>
          <w:bCs/>
          <w:sz w:val="32"/>
          <w:szCs w:val="40"/>
          <w:lang w:val="en-US" w:eastAsia="zh-CN"/>
        </w:rPr>
        <w:t>道路绿化带挖掘</w:t>
      </w:r>
    </w:p>
    <w:p w14:paraId="31DD0BF7">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（1）单侧绿化带挖掘长度≤30m，分段施工，保留至少1m宽植被隔离带，防止病虫害传播</w:t>
      </w:r>
      <w:r>
        <w:rPr>
          <w:rFonts w:hint="eastAsia" w:cs="仿宋_GB2312"/>
          <w:b w:val="0"/>
          <w:bCs w:val="0"/>
          <w:sz w:val="32"/>
          <w:szCs w:val="40"/>
          <w:lang w:val="en-US" w:eastAsia="zh-CN"/>
        </w:rPr>
        <w:t>；</w:t>
      </w:r>
    </w:p>
    <w:p w14:paraId="25E68B78">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（2）临近道路侧开挖时，设置防撞护栏（高度≥1.2m），避免车辆冲入作业区；与道路雨水口衔接处，挖掘深度低于雨水口5cm，做好临时排水</w:t>
      </w:r>
      <w:r>
        <w:rPr>
          <w:rFonts w:hint="eastAsia" w:cs="仿宋_GB2312"/>
          <w:b w:val="0"/>
          <w:bCs w:val="0"/>
          <w:sz w:val="32"/>
          <w:szCs w:val="40"/>
          <w:lang w:val="en-US" w:eastAsia="zh-CN"/>
        </w:rPr>
        <w:t>；</w:t>
      </w:r>
    </w:p>
    <w:p w14:paraId="2670515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（3）灌木带挖掘采用“逐丛开挖”方式，保留灌木根系土球（直径≥30cm），避免散球</w:t>
      </w:r>
      <w:r>
        <w:rPr>
          <w:rFonts w:hint="eastAsia" w:cs="仿宋_GB2312"/>
          <w:b w:val="0"/>
          <w:bCs w:val="0"/>
          <w:sz w:val="32"/>
          <w:szCs w:val="40"/>
          <w:lang w:val="en-US" w:eastAsia="zh-CN"/>
        </w:rPr>
        <w:t>。</w:t>
      </w:r>
    </w:p>
    <w:p w14:paraId="067BE46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5.公园绿地挖掘</w:t>
      </w:r>
    </w:p>
    <w:p w14:paraId="7EC7D84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（1）乔木区域挖掘：距树干1.5倍冠幅范围内采用人工开挖，禁止机械靠近树干（水平距离≥1m），防止损伤根系</w:t>
      </w:r>
      <w:r>
        <w:rPr>
          <w:rFonts w:hint="eastAsia" w:cs="仿宋_GB2312"/>
          <w:b w:val="0"/>
          <w:bCs w:val="0"/>
          <w:sz w:val="32"/>
          <w:szCs w:val="40"/>
          <w:lang w:val="en-US" w:eastAsia="zh-CN"/>
        </w:rPr>
        <w:t>；</w:t>
      </w:r>
    </w:p>
    <w:p w14:paraId="7E6A409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（2）草坪区域挖掘：先切除表层草坪（带2cm厚土），卷状堆放，挖掘完成后回铺，压实度≥85%</w:t>
      </w:r>
      <w:r>
        <w:rPr>
          <w:rFonts w:hint="eastAsia" w:cs="仿宋_GB2312"/>
          <w:b w:val="0"/>
          <w:bCs w:val="0"/>
          <w:sz w:val="32"/>
          <w:szCs w:val="40"/>
          <w:lang w:val="en-US" w:eastAsia="zh-CN"/>
        </w:rPr>
        <w:t>；</w:t>
      </w:r>
    </w:p>
    <w:p w14:paraId="01F57A1E">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b w:val="0"/>
          <w:bCs w:val="0"/>
          <w:sz w:val="32"/>
          <w:szCs w:val="40"/>
          <w:lang w:val="en-US" w:eastAsia="zh-CN"/>
        </w:rPr>
        <w:t>（3）水景周边挖掘：边坡坡度1:2，采用沙袋临时支护，防止滑坡，挖掘过程中抽排积水，避免污染水体。</w:t>
      </w:r>
      <w:r>
        <w:rPr>
          <w:rFonts w:hint="eastAsia" w:ascii="Times New Roman" w:hAnsi="Times New Roman" w:eastAsia="仿宋_GB2312" w:cs="仿宋_GB2312"/>
          <w:b/>
          <w:bCs/>
          <w:sz w:val="32"/>
          <w:szCs w:val="40"/>
          <w:lang w:val="en-US" w:eastAsia="zh-CN"/>
        </w:rPr>
        <w:br w:type="textWrapping"/>
      </w:r>
      <w:r>
        <w:rPr>
          <w:rFonts w:hint="eastAsia" w:ascii="Times New Roman" w:hAnsi="Times New Roman" w:eastAsia="仿宋_GB2312" w:cs="仿宋_GB2312"/>
          <w:b/>
          <w:bCs/>
          <w:sz w:val="32"/>
          <w:szCs w:val="40"/>
          <w:lang w:val="en-US" w:eastAsia="zh-CN"/>
        </w:rPr>
        <w:t xml:space="preserve">    </w:t>
      </w:r>
      <w:r>
        <w:rPr>
          <w:rFonts w:hint="eastAsia" w:ascii="仿宋_GB2312" w:hAnsi="仿宋_GB2312" w:eastAsia="仿宋_GB2312" w:cs="仿宋_GB2312"/>
          <w:b/>
          <w:bCs/>
          <w:sz w:val="32"/>
          <w:szCs w:val="40"/>
          <w:lang w:val="en-US" w:eastAsia="zh-CN"/>
        </w:rPr>
        <w:t>6.防护绿地挖掘</w:t>
      </w:r>
    </w:p>
    <w:p w14:paraId="5627E74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（1）灌木区挖掘：按“隔行开挖”原则，保留部分植株维持防护功能，挖掘后及时补植，补植密度与原密度一致。</w:t>
      </w:r>
      <w:r>
        <w:rPr>
          <w:rFonts w:hint="eastAsia" w:cs="仿宋_GB2312"/>
          <w:b w:val="0"/>
          <w:bCs w:val="0"/>
          <w:sz w:val="32"/>
          <w:szCs w:val="40"/>
          <w:lang w:val="en-US" w:eastAsia="zh-CN"/>
        </w:rPr>
        <w:t>；</w:t>
      </w:r>
    </w:p>
    <w:p w14:paraId="09005451">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b w:val="0"/>
          <w:bCs w:val="0"/>
          <w:sz w:val="32"/>
          <w:szCs w:val="40"/>
          <w:lang w:val="en-US" w:eastAsia="zh-CN"/>
        </w:rPr>
        <w:t>（2）风积沙防护绿地：采用“分层开挖、即时固定”工艺，每层厚度≤40cm，开挖后坡面铺设草方格（1m×1m）固沙</w:t>
      </w:r>
      <w:r>
        <w:rPr>
          <w:rFonts w:hint="eastAsia" w:cs="仿宋_GB2312"/>
          <w:b w:val="0"/>
          <w:bCs w:val="0"/>
          <w:sz w:val="32"/>
          <w:szCs w:val="40"/>
          <w:lang w:val="en-US" w:eastAsia="zh-CN"/>
        </w:rPr>
        <w:t>；</w:t>
      </w:r>
    </w:p>
    <w:p w14:paraId="10CB3A1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7.安全环保措施：</w:t>
      </w:r>
      <w:r>
        <w:rPr>
          <w:rFonts w:hint="eastAsia" w:ascii="Times New Roman" w:hAnsi="Times New Roman" w:eastAsia="仿宋_GB2312" w:cs="仿宋_GB2312"/>
          <w:sz w:val="32"/>
          <w:szCs w:val="40"/>
          <w:lang w:val="en-US" w:eastAsia="zh-CN"/>
        </w:rPr>
        <w:t>地下水位较高区域需提前设井点降水系统，将水位降至开挖面下50cm，避免坑基积水；作业中对开挖面、土堆持续洒水，干燥天气覆盖防尘网，出入口设车辆冲洗平台控制扬尘。同时配备测斜仪、沉降观测点等设备，实时监测坑壁位移，备好沙袋、水泵等应急物资，应对坍塌风险。</w:t>
      </w:r>
    </w:p>
    <w:p w14:paraId="666204B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六、</w:t>
      </w:r>
      <w:r>
        <w:rPr>
          <w:rFonts w:hint="eastAsia" w:ascii="黑体" w:hAnsi="黑体" w:eastAsia="黑体" w:cs="黑体"/>
          <w:sz w:val="32"/>
          <w:szCs w:val="40"/>
        </w:rPr>
        <w:t>恢复</w:t>
      </w:r>
      <w:r>
        <w:rPr>
          <w:rFonts w:hint="eastAsia" w:ascii="黑体" w:hAnsi="黑体" w:eastAsia="黑体" w:cs="黑体"/>
          <w:sz w:val="32"/>
          <w:szCs w:val="40"/>
          <w:lang w:eastAsia="zh-CN"/>
        </w:rPr>
        <w:t>、</w:t>
      </w:r>
      <w:r>
        <w:rPr>
          <w:rFonts w:hint="eastAsia" w:ascii="黑体" w:hAnsi="黑体" w:eastAsia="黑体" w:cs="黑体"/>
          <w:sz w:val="32"/>
          <w:szCs w:val="40"/>
          <w:lang w:val="en-US" w:eastAsia="zh-CN"/>
        </w:rPr>
        <w:t>验收</w:t>
      </w:r>
      <w:r>
        <w:rPr>
          <w:rFonts w:hint="eastAsia" w:ascii="黑体" w:hAnsi="黑体" w:eastAsia="黑体" w:cs="黑体"/>
          <w:sz w:val="32"/>
          <w:szCs w:val="40"/>
        </w:rPr>
        <w:t>技术与标准</w:t>
      </w:r>
    </w:p>
    <w:p w14:paraId="4652E001">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一）</w:t>
      </w:r>
      <w:r>
        <w:rPr>
          <w:rFonts w:hint="eastAsia" w:ascii="楷体_GB2312" w:hAnsi="楷体_GB2312" w:eastAsia="楷体_GB2312" w:cs="楷体_GB2312"/>
          <w:sz w:val="32"/>
          <w:szCs w:val="40"/>
        </w:rPr>
        <w:t>道路恢复标准</w:t>
      </w:r>
    </w:p>
    <w:p w14:paraId="36654C7A">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1.普通路基恢复</w:t>
      </w:r>
    </w:p>
    <w:p w14:paraId="5E29183A">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（1）基底处理：清除挖掘区域内的杂物、腐殖土等。若基底为软土，需换填30cm厚级配砂石，采用平板振动器振捣，直至表面无明显下沉。基底应平整，使用2米靠尺检查，误差≤5cm/2m</w:t>
      </w:r>
      <w:r>
        <w:rPr>
          <w:rFonts w:hint="eastAsia" w:cs="仿宋_GB2312"/>
          <w:b w:val="0"/>
          <w:bCs w:val="0"/>
          <w:sz w:val="32"/>
          <w:szCs w:val="40"/>
          <w:lang w:val="en-US" w:eastAsia="zh-CN"/>
        </w:rPr>
        <w:t>；</w:t>
      </w:r>
    </w:p>
    <w:p w14:paraId="68DEA7F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2）回填材料要求：优先选用级配砂石（粒径5—31.5mm）或水泥稳定碎石（水泥掺量4%—6%），含泥量≤5%，有机质含量≤2%。回填土料需通过重型击实试验确定最佳含水率，现场控制以“手握成团、落地松散”为标准</w:t>
      </w:r>
      <w:r>
        <w:rPr>
          <w:rFonts w:hint="eastAsia" w:cs="仿宋_GB2312"/>
          <w:b w:val="0"/>
          <w:bCs w:val="0"/>
          <w:sz w:val="32"/>
          <w:szCs w:val="40"/>
          <w:lang w:val="en-US" w:eastAsia="zh-CN"/>
        </w:rPr>
        <w:t>；</w:t>
      </w:r>
    </w:p>
    <w:p w14:paraId="600C154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3）分层压实标准：回填应分层填筑，机械压实每层厚度≤30cm，人工夯实每层厚度≤20cm，摊铺时应自中间向两侧设置2%横坡。振动压路机行驶速度控制在2—3km/h，碾压方向由低到高，重叠宽度≥1/3轮径，压实遍数6-8遍</w:t>
      </w:r>
      <w:r>
        <w:rPr>
          <w:rFonts w:hint="eastAsia" w:cs="仿宋_GB2312"/>
          <w:b w:val="0"/>
          <w:bCs w:val="0"/>
          <w:sz w:val="32"/>
          <w:szCs w:val="40"/>
          <w:lang w:val="en-US" w:eastAsia="zh-CN"/>
        </w:rPr>
        <w:t>；</w:t>
      </w:r>
    </w:p>
    <w:p w14:paraId="541392C4">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（4）压实度要求：路基压实度≥95%（重型击实标准）</w:t>
      </w:r>
      <w:r>
        <w:rPr>
          <w:rFonts w:hint="eastAsia" w:cs="仿宋_GB2312"/>
          <w:b w:val="0"/>
          <w:bCs w:val="0"/>
          <w:sz w:val="32"/>
          <w:szCs w:val="40"/>
          <w:lang w:val="en-US" w:eastAsia="zh-CN"/>
        </w:rPr>
        <w:t>；</w:t>
      </w:r>
    </w:p>
    <w:p w14:paraId="5002DCF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（5）外观质量要求：路基表面应平整、无弹簧、起皮现象，边线直顺，边坡稳定。</w:t>
      </w:r>
    </w:p>
    <w:p w14:paraId="667EAFD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2.</w:t>
      </w:r>
      <w:r>
        <w:rPr>
          <w:rFonts w:hint="eastAsia" w:ascii="仿宋_GB2312" w:hAnsi="仿宋_GB2312" w:eastAsia="仿宋_GB2312" w:cs="仿宋_GB2312"/>
          <w:b/>
          <w:bCs/>
          <w:sz w:val="32"/>
          <w:szCs w:val="40"/>
        </w:rPr>
        <w:t>风积沙路基恢复</w:t>
      </w:r>
    </w:p>
    <w:p w14:paraId="3664671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采用“干法压实+掺砾改良”技术，风积沙中掺入15%—20%砾石（粒径10—20mm），分层回填碾压，每层厚度≤25cm，小型压路机（重量≥1.5t）碾压8-10遍，压实度≥95%。天然含水率控制在3%—5%，不足时喷雾增湿，超标时翻松晾晒。边坡采用1:1.5坡率，坡面铺设草方格固沙，方格尺寸1m×1m，与路基同步压实。</w:t>
      </w:r>
    </w:p>
    <w:p w14:paraId="0FDB2EC3">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3.沥青面层恢复</w:t>
      </w:r>
    </w:p>
    <w:p w14:paraId="0E4B9CEB">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采用AC-13型改性沥青混合料，摊铺厚度≥40mm，摊铺温度≥130℃，小型压路机碾压3-4遍，压实度≥96%。裂缝修复：宽度≤5mm时注入环氧树脂型修补剂，＞5mm时切割V型槽（深度≥10mm、宽度≥8mm），清理后填充修补剂，表面平整无凹陷。接缝处需涂刷粘层油，纵缝偏差≤3mm，横缝偏差≤5mm。</w:t>
      </w:r>
    </w:p>
    <w:p w14:paraId="5C4DAABC">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4.混凝土面层恢复</w:t>
      </w:r>
    </w:p>
    <w:p w14:paraId="73C57AE3">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采用C25混凝土，抗折强度≥4.0MPa，抗冻等级≥F200。浇筑前基层洒水湿润，振捣密实后表面拉毛，拉毛深度≥1mm。缩缝间距≤6m，缝宽5—8mm，填入弹性嵌缝料；胀缝设置间距≤20m，与路面边缘对齐。养护采用覆盖保湿膜方式，养护期≥14天，前7天每日洒水1—2次。</w:t>
      </w:r>
    </w:p>
    <w:p w14:paraId="4DAE2B4C">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5.人行道面层恢复</w:t>
      </w:r>
    </w:p>
    <w:p w14:paraId="3553FA3B">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b w:val="0"/>
          <w:bCs w:val="0"/>
          <w:sz w:val="32"/>
          <w:szCs w:val="40"/>
          <w:lang w:val="en-US" w:eastAsia="zh-CN"/>
        </w:rPr>
        <w:t>优先选用透水砖（强度≥C30，透水率≥1mm/s），铺设前先铺30mm厚干硬性水泥砂浆（配比1:3）找平层，平整度≤2mm/2m。透水砖铺贴时砖缝≤5mm，粘结剂饱满度≥95%，铺贴后用橡胶锤敲实，勾缝后洒水养护≥3天。排水坡度≥2%，确保雨水快速渗透，避免积水。</w:t>
      </w:r>
    </w:p>
    <w:p w14:paraId="29684E34">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cs="仿宋_GB2312"/>
          <w:b/>
          <w:bCs/>
          <w:sz w:val="32"/>
          <w:szCs w:val="40"/>
          <w:lang w:val="en-US" w:eastAsia="zh-CN"/>
        </w:rPr>
        <w:t>6.</w:t>
      </w:r>
      <w:r>
        <w:rPr>
          <w:rFonts w:hint="eastAsia" w:ascii="仿宋_GB2312" w:hAnsi="仿宋_GB2312" w:eastAsia="仿宋_GB2312" w:cs="仿宋_GB2312"/>
          <w:b/>
          <w:bCs/>
          <w:sz w:val="32"/>
          <w:szCs w:val="40"/>
        </w:rPr>
        <w:t>附属设施</w:t>
      </w:r>
      <w:r>
        <w:rPr>
          <w:rFonts w:hint="eastAsia" w:ascii="仿宋_GB2312" w:hAnsi="仿宋_GB2312" w:eastAsia="仿宋_GB2312" w:cs="仿宋_GB2312"/>
          <w:b/>
          <w:bCs/>
          <w:sz w:val="32"/>
          <w:szCs w:val="40"/>
          <w:lang w:val="en-US" w:eastAsia="zh-CN"/>
        </w:rPr>
        <w:t>恢复</w:t>
      </w:r>
    </w:p>
    <w:p w14:paraId="0234D212">
      <w:pPr>
        <w:keepNext w:val="0"/>
        <w:keepLines w:val="0"/>
        <w:pageBreakBefore w:val="0"/>
        <w:widowControl w:val="0"/>
        <w:numPr>
          <w:ilvl w:val="0"/>
          <w:numId w:val="0"/>
        </w:numPr>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rPr>
      </w:pPr>
      <w:r>
        <w:rPr>
          <w:rFonts w:hint="eastAsia" w:ascii="Times New Roman" w:hAnsi="Times New Roman" w:eastAsia="仿宋_GB2312" w:cs="仿宋_GB2312"/>
          <w:b w:val="0"/>
          <w:bCs w:val="0"/>
          <w:sz w:val="32"/>
          <w:szCs w:val="40"/>
          <w:lang w:val="en-US" w:eastAsia="zh-CN"/>
        </w:rPr>
        <w:t>修复施工结束后，应恢复挖掘破坏的标志线和其他附属设施，如侧平石、人行道、无障碍设施等应按原材料进行修复。</w:t>
      </w:r>
    </w:p>
    <w:p w14:paraId="4E199914">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lang w:eastAsia="zh-CN"/>
        </w:rPr>
        <w:t>（</w:t>
      </w:r>
      <w:r>
        <w:rPr>
          <w:rFonts w:hint="eastAsia" w:ascii="楷体_GB2312" w:hAnsi="楷体_GB2312" w:eastAsia="楷体_GB2312" w:cs="楷体_GB2312"/>
          <w:sz w:val="32"/>
          <w:szCs w:val="40"/>
          <w:lang w:val="en-US" w:eastAsia="zh-CN"/>
        </w:rPr>
        <w:t>二）绿地</w:t>
      </w:r>
      <w:r>
        <w:rPr>
          <w:rFonts w:hint="eastAsia" w:ascii="楷体_GB2312" w:hAnsi="楷体_GB2312" w:eastAsia="楷体_GB2312" w:cs="楷体_GB2312"/>
          <w:sz w:val="32"/>
          <w:szCs w:val="40"/>
        </w:rPr>
        <w:t>恢复标准</w:t>
      </w:r>
    </w:p>
    <w:p w14:paraId="3E111FD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1.</w:t>
      </w:r>
      <w:r>
        <w:rPr>
          <w:rFonts w:hint="eastAsia" w:ascii="仿宋_GB2312" w:hAnsi="仿宋_GB2312" w:eastAsia="仿宋_GB2312" w:cs="仿宋_GB2312"/>
          <w:b/>
          <w:bCs/>
          <w:sz w:val="32"/>
          <w:szCs w:val="40"/>
        </w:rPr>
        <w:t>苗木</w:t>
      </w:r>
      <w:r>
        <w:rPr>
          <w:rFonts w:hint="eastAsia" w:ascii="仿宋_GB2312" w:hAnsi="仿宋_GB2312" w:eastAsia="仿宋_GB2312" w:cs="仿宋_GB2312"/>
          <w:b/>
          <w:bCs/>
          <w:sz w:val="32"/>
          <w:szCs w:val="40"/>
          <w:lang w:val="en-US" w:eastAsia="zh-CN"/>
        </w:rPr>
        <w:t>选择</w:t>
      </w:r>
    </w:p>
    <w:p w14:paraId="15E7685F">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eastAsia="zh-CN"/>
        </w:rPr>
      </w:pPr>
      <w:r>
        <w:rPr>
          <w:rFonts w:hint="eastAsia" w:ascii="Times New Roman" w:hAnsi="Times New Roman" w:eastAsia="仿宋_GB2312" w:cs="仿宋_GB2312"/>
          <w:sz w:val="32"/>
          <w:szCs w:val="40"/>
        </w:rPr>
        <w:t>优先选用师市乡土适生树种（如胡杨、沙枣、白蜡、国槐、新疆杨等）、耐干旱、抗逆性强的品种，符合师市绿化规划与景观要求，避免选用外来入侵物种；新栽植苗木规格、品质不得低于原绿地苗木标准，乔木胸径不小于原苗木胸径的80%，灌木冠幅不小于原苗木冠幅的80%，草坪选用与原品种一致或更优的耐旱草坪品种；需达到国家二级及以上苗木标准，无病虫害、无损伤、根系完整，生长健壮，符合绿化工程施工规范</w:t>
      </w:r>
      <w:r>
        <w:rPr>
          <w:rFonts w:hint="eastAsia" w:ascii="Times New Roman" w:hAnsi="Times New Roman" w:eastAsia="仿宋_GB2312" w:cs="仿宋_GB2312"/>
          <w:sz w:val="32"/>
          <w:szCs w:val="40"/>
          <w:lang w:eastAsia="zh-CN"/>
        </w:rPr>
        <w:t>。</w:t>
      </w:r>
    </w:p>
    <w:p w14:paraId="697D59A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2</w:t>
      </w:r>
      <w:r>
        <w:rPr>
          <w:rFonts w:hint="eastAsia" w:ascii="仿宋_GB2312" w:hAnsi="仿宋_GB2312" w:eastAsia="仿宋_GB2312" w:cs="仿宋_GB2312"/>
          <w:b/>
          <w:bCs/>
          <w:sz w:val="32"/>
          <w:szCs w:val="40"/>
          <w:lang w:val="en-US" w:eastAsia="zh-CN"/>
        </w:rPr>
        <w:t>.</w:t>
      </w:r>
      <w:r>
        <w:rPr>
          <w:rFonts w:hint="eastAsia" w:ascii="仿宋_GB2312" w:hAnsi="仿宋_GB2312" w:eastAsia="仿宋_GB2312" w:cs="仿宋_GB2312"/>
          <w:b/>
          <w:bCs/>
          <w:sz w:val="32"/>
          <w:szCs w:val="40"/>
        </w:rPr>
        <w:t>植被回植与补植</w:t>
      </w:r>
    </w:p>
    <w:p w14:paraId="18315435">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（1）乔木回植：种植穴直径比土球大30cm，深度比土球高20cm，底部施腐熟有机肥0.5—1kg，回植后浇透生根剂溶液（浓度500mg/L），用三角支架固定，支架底部埋深≥30cm，与树干间垫橡胶垫防损伤</w:t>
      </w:r>
      <w:r>
        <w:rPr>
          <w:rFonts w:hint="eastAsia" w:cs="仿宋_GB2312"/>
          <w:sz w:val="32"/>
          <w:szCs w:val="40"/>
          <w:lang w:val="en-US" w:eastAsia="zh-CN"/>
        </w:rPr>
        <w:t>；</w:t>
      </w:r>
    </w:p>
    <w:p w14:paraId="6108E317">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（2）灌木回植：按原种植密度排列，种植穴直径≥土球15cm，回植后压实土壤，浇足定根水，覆盖5—8cm厚木屑或秸秆保湿</w:t>
      </w:r>
      <w:r>
        <w:rPr>
          <w:rFonts w:hint="eastAsia" w:cs="仿宋_GB2312"/>
          <w:sz w:val="32"/>
          <w:szCs w:val="40"/>
          <w:lang w:val="en-US" w:eastAsia="zh-CN"/>
        </w:rPr>
        <w:t>；</w:t>
      </w:r>
    </w:p>
    <w:p w14:paraId="37394867">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sz w:val="32"/>
          <w:szCs w:val="40"/>
          <w:lang w:val="en-US" w:eastAsia="zh-CN"/>
        </w:rPr>
        <w:t>（3）补植要求：补植苗木规格不小于原苗木的80%，密度与原绿地一致，乔木成活率≥95%，灌木≥98%，地被≥99%。</w:t>
      </w:r>
    </w:p>
    <w:p w14:paraId="502F9925">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3.</w:t>
      </w:r>
      <w:r>
        <w:rPr>
          <w:rFonts w:hint="eastAsia" w:ascii="仿宋_GB2312" w:hAnsi="仿宋_GB2312" w:eastAsia="仿宋_GB2312" w:cs="仿宋_GB2312"/>
          <w:b/>
          <w:bCs/>
          <w:sz w:val="32"/>
          <w:szCs w:val="40"/>
        </w:rPr>
        <w:t>土壤与地形</w:t>
      </w:r>
    </w:p>
    <w:p w14:paraId="7A8BCDD4">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rPr>
      </w:pPr>
      <w:r>
        <w:rPr>
          <w:rFonts w:hint="eastAsia" w:ascii="Times New Roman" w:hAnsi="Times New Roman" w:eastAsia="仿宋_GB2312" w:cs="仿宋_GB2312"/>
          <w:b w:val="0"/>
          <w:bCs w:val="0"/>
          <w:sz w:val="32"/>
          <w:szCs w:val="40"/>
          <w:lang w:eastAsia="zh-CN"/>
        </w:rPr>
        <w:t>（</w:t>
      </w:r>
      <w:r>
        <w:rPr>
          <w:rFonts w:hint="eastAsia" w:ascii="Times New Roman" w:hAnsi="Times New Roman" w:eastAsia="仿宋_GB2312" w:cs="仿宋_GB2312"/>
          <w:b w:val="0"/>
          <w:bCs w:val="0"/>
          <w:sz w:val="32"/>
          <w:szCs w:val="40"/>
          <w:lang w:val="en-US" w:eastAsia="zh-CN"/>
        </w:rPr>
        <w:t>1）</w:t>
      </w:r>
      <w:r>
        <w:rPr>
          <w:rFonts w:hint="eastAsia" w:ascii="Times New Roman" w:hAnsi="Times New Roman" w:eastAsia="仿宋_GB2312" w:cs="仿宋_GB2312"/>
          <w:b w:val="0"/>
          <w:bCs w:val="0"/>
          <w:sz w:val="32"/>
          <w:szCs w:val="40"/>
        </w:rPr>
        <w:t>恢复前需对土壤进行检测，根据检测结果进行改良，添加有机肥、腐殖土、保水剂等，调整土壤pH值至6.5-8.5（适合师市本地植物生长范围），土壤疏松度、肥力达到植物生长需求，无建筑垃圾、杂物、污染物；</w:t>
      </w:r>
    </w:p>
    <w:p w14:paraId="6B481E99">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eastAsia="zh-CN"/>
        </w:rPr>
        <w:t>（</w:t>
      </w:r>
      <w:r>
        <w:rPr>
          <w:rFonts w:hint="eastAsia" w:ascii="Times New Roman" w:hAnsi="Times New Roman" w:eastAsia="仿宋_GB2312" w:cs="仿宋_GB2312"/>
          <w:sz w:val="32"/>
          <w:szCs w:val="40"/>
          <w:lang w:val="en-US" w:eastAsia="zh-CN"/>
        </w:rPr>
        <w:t>2）对土壤进行翻耕，翻耕深度不小于30cm，翻耕后的土块粒径应在1cm：左右，粒径为2—4cm的土块不得超过10%，土壤外表要达到土粒细碎、疏松、无杂物。地形应自然流畅，排水畅通</w:t>
      </w:r>
      <w:r>
        <w:rPr>
          <w:rFonts w:hint="eastAsia" w:cs="仿宋_GB2312"/>
          <w:sz w:val="32"/>
          <w:szCs w:val="40"/>
          <w:lang w:val="en-US" w:eastAsia="zh-CN"/>
        </w:rPr>
        <w:t>；</w:t>
      </w:r>
    </w:p>
    <w:p w14:paraId="1D7C310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（3）与道路相邻的林床，在整理后应低于路面20cm以上，以保证后期灌溉质量。</w:t>
      </w:r>
    </w:p>
    <w:p w14:paraId="7ECC1D8E">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4.养护管理</w:t>
      </w:r>
    </w:p>
    <w:p w14:paraId="5530CA33">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1）初期养护（1-3个月）。浇水：前3天每日浇水1次，之后乔木每3—5天1次，灌木每2～3天1次，采用滴灌或慢灌方式，避免冲刷土壤。防寒：冬季来临前，乔木树干涂白（生石灰+硫磺配比5:1），灌木覆盖5cm厚秸秆或保湿无纺布，极端低温（≤-20℃）时增设防风障。病虫害防治：定期巡查，发现蚜虫、红蜘蛛等害虫时，采用生物农药喷雾防治，禁用高毒化学农药。</w:t>
      </w:r>
    </w:p>
    <w:p w14:paraId="11F8E1D2">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b w:val="0"/>
          <w:bCs w:val="0"/>
          <w:sz w:val="32"/>
          <w:szCs w:val="40"/>
          <w:lang w:val="en-US" w:eastAsia="zh-CN"/>
        </w:rPr>
        <w:t>（2）后期养护（3个月-1年）。浇水：根据土壤湿度调整，土壤含水率低于15%时灌溉，每次浇透至根系层（深度30—40cm）。施肥：春季施腐熟有机肥1次，乔木2—3kg/株，灌木0.5—1kg/株；秋季施复合肥1次，增强抗寒能力。修剪：乔木疏除病弱枝、过密枝，灌木修剪保持整齐造型，地被高度控制在15—20cm，修剪后及时清理枝叶。</w:t>
      </w:r>
    </w:p>
    <w:p w14:paraId="37131DDA">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val="0"/>
          <w:bCs w:val="0"/>
          <w:sz w:val="32"/>
          <w:szCs w:val="40"/>
          <w:lang w:val="en-US" w:eastAsia="zh-CN"/>
        </w:rPr>
      </w:pPr>
      <w:r>
        <w:rPr>
          <w:rFonts w:hint="eastAsia" w:ascii="Times New Roman" w:hAnsi="Times New Roman" w:eastAsia="仿宋_GB2312" w:cs="仿宋_GB2312"/>
          <w:b w:val="0"/>
          <w:bCs w:val="0"/>
          <w:sz w:val="32"/>
          <w:szCs w:val="40"/>
          <w:lang w:val="en-US" w:eastAsia="zh-CN"/>
        </w:rPr>
        <w:t>（三）质量验收</w:t>
      </w:r>
    </w:p>
    <w:p w14:paraId="6FB68366">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b/>
          <w:bCs/>
          <w:sz w:val="32"/>
          <w:szCs w:val="40"/>
          <w:lang w:val="en-US" w:eastAsia="zh-CN"/>
        </w:rPr>
        <w:t>1.道路验收</w:t>
      </w:r>
    </w:p>
    <w:p w14:paraId="25E24B53">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（1）资料验收：施工单位需提供完整施工资料，如施工图纸、方案、材料检验报告、隐蔽工程验收记录等，建设单位应提供道路挖掘许可证等审批文件</w:t>
      </w:r>
      <w:r>
        <w:rPr>
          <w:rFonts w:hint="eastAsia" w:cs="仿宋_GB2312"/>
          <w:sz w:val="32"/>
          <w:szCs w:val="40"/>
          <w:lang w:val="en-US" w:eastAsia="zh-CN"/>
        </w:rPr>
        <w:t>；</w:t>
      </w:r>
    </w:p>
    <w:p w14:paraId="695AD4D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2）路基验收：路基表面应平整，无坑洼、隆起或裂缝，边坡稳定，排水畅通。采用环刀法等方法检测压实度，应符合设计要求，每一层路基填筑都要检测。对于高等级道路或重要路段路基，可采用承载板试验检测回弹模量，评估强度</w:t>
      </w:r>
      <w:r>
        <w:rPr>
          <w:rFonts w:hint="eastAsia" w:cs="仿宋_GB2312"/>
          <w:sz w:val="32"/>
          <w:szCs w:val="40"/>
          <w:lang w:val="en-US" w:eastAsia="zh-CN"/>
        </w:rPr>
        <w:t>；</w:t>
      </w:r>
    </w:p>
    <w:p w14:paraId="453B9C3A">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3）路面验收：检查路面材料质量证明文件和外观质量。采用连续式平整度仪等检测平整度，偏差应符合规范。用摆式仪等检测抗滑性能，指标应符合设计和规范要求。使用钻孔取芯等方法检测厚度，应符合设计。检查路面接缝是否平整、严密，有无错台、裂缝等缺陷，接缝处填缝材料应饱满、完好。</w:t>
      </w:r>
    </w:p>
    <w:p w14:paraId="6F641F2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b/>
          <w:bCs/>
          <w:sz w:val="32"/>
          <w:szCs w:val="40"/>
          <w:lang w:val="en-US" w:eastAsia="zh-CN"/>
        </w:rPr>
        <w:t>2.绿地验收</w:t>
      </w:r>
    </w:p>
    <w:p w14:paraId="2ACBF24D">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（1）植物成活率及保存率：乔木、灌木的成活率应达到95%以上，草坪、地被植物覆盖率达到90%以上。对于盐碱地区，可根据实际情况适当调整标准，但不应低于85%</w:t>
      </w:r>
      <w:r>
        <w:rPr>
          <w:rFonts w:hint="eastAsia" w:cs="仿宋_GB2312"/>
          <w:sz w:val="32"/>
          <w:szCs w:val="40"/>
          <w:lang w:val="en-US" w:eastAsia="zh-CN"/>
        </w:rPr>
        <w:t>；</w:t>
      </w:r>
    </w:p>
    <w:p w14:paraId="34165E28">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（2）植物生长状况：植物应生长良好，无明显病虫害症状。乔木树干通直，分枝均匀；灌木冠形饱满，层次分明；草本地被生长茂盛，无杂草丛生现象</w:t>
      </w:r>
      <w:r>
        <w:rPr>
          <w:rFonts w:hint="eastAsia" w:cs="仿宋_GB2312"/>
          <w:sz w:val="32"/>
          <w:szCs w:val="40"/>
          <w:lang w:val="en-US" w:eastAsia="zh-CN"/>
        </w:rPr>
        <w:t>；</w:t>
      </w:r>
    </w:p>
    <w:p w14:paraId="7E9A3A0B">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（3）工程质量：土壤改良符合设计要求，土层厚度达到规定标准。灌溉系统运行正常，喷头布置合理，确保植物得到充分水分供应</w:t>
      </w:r>
      <w:r>
        <w:rPr>
          <w:rFonts w:hint="eastAsia" w:cs="仿宋_GB2312"/>
          <w:sz w:val="32"/>
          <w:szCs w:val="40"/>
          <w:lang w:val="en-US" w:eastAsia="zh-CN"/>
        </w:rPr>
        <w:t>；</w:t>
      </w:r>
    </w:p>
    <w:p w14:paraId="031DBB70">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b/>
          <w:bCs/>
          <w:sz w:val="32"/>
          <w:szCs w:val="40"/>
          <w:lang w:val="en-US" w:eastAsia="zh-CN"/>
        </w:rPr>
      </w:pPr>
      <w:r>
        <w:rPr>
          <w:rFonts w:hint="eastAsia" w:ascii="Times New Roman" w:hAnsi="Times New Roman" w:eastAsia="仿宋_GB2312" w:cs="仿宋_GB2312"/>
          <w:sz w:val="32"/>
          <w:szCs w:val="40"/>
          <w:lang w:val="en-US" w:eastAsia="zh-CN"/>
        </w:rPr>
        <w:t>（4）养护管理措施：建立完善的养护管理制度，配备专业技术人员和必要的机械设备。定期进行浇水、施肥、修剪、病虫害防治等工作。做好绿地卫生保洁，及时清理枯枝落叶和垃圾杂物。</w:t>
      </w:r>
    </w:p>
    <w:p w14:paraId="42E14614">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七、附则</w:t>
      </w:r>
    </w:p>
    <w:p w14:paraId="0EE4049F">
      <w:pPr>
        <w:keepNext w:val="0"/>
        <w:keepLines w:val="0"/>
        <w:pageBreakBefore w:val="0"/>
        <w:widowControl w:val="0"/>
        <w:kinsoku/>
        <w:wordWrap w:val="0"/>
        <w:overflowPunct w:val="0"/>
        <w:topLinePunct w:val="0"/>
        <w:autoSpaceDE/>
        <w:autoSpaceDN/>
        <w:bidi w:val="0"/>
        <w:adjustRightInd/>
        <w:snapToGrid/>
        <w:spacing w:line="560" w:lineRule="exact"/>
        <w:ind w:firstLine="632"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本导则未明确事项，严格按照国家、新疆维吾尔自治区、新疆生产建设兵团、一师阿拉尔市现行相关规范执行。</w:t>
      </w:r>
    </w:p>
    <w:p w14:paraId="02A9A8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08011C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3F9DC1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1AF2B1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65DBA2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314E00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025E53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3924C1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21C412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64021B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1E02DA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0C632B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510CA8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4F542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4138F1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4C1F7C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319BAD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1AD422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747E5FA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附件2</w:t>
      </w:r>
    </w:p>
    <w:p w14:paraId="6380D3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val="0"/>
          <w:kern w:val="0"/>
          <w:sz w:val="44"/>
          <w:szCs w:val="44"/>
          <w:lang w:eastAsia="zh-CN"/>
        </w:rPr>
      </w:pPr>
      <w:r>
        <w:rPr>
          <w:rFonts w:hint="eastAsia" w:ascii="方正小标宋简体" w:hAnsi="方正小标宋简体" w:eastAsia="方正小标宋简体" w:cs="方正小标宋简体"/>
          <w:snapToGrid w:val="0"/>
          <w:kern w:val="0"/>
          <w:sz w:val="44"/>
          <w:szCs w:val="44"/>
          <w:lang w:eastAsia="zh-CN"/>
        </w:rPr>
        <w:t>城市道路占用挖掘申请表（样表）</w:t>
      </w:r>
    </w:p>
    <w:tbl>
      <w:tblPr>
        <w:tblStyle w:val="16"/>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7"/>
        <w:gridCol w:w="1703"/>
        <w:gridCol w:w="3415"/>
        <w:gridCol w:w="197"/>
        <w:gridCol w:w="982"/>
        <w:gridCol w:w="2236"/>
      </w:tblGrid>
      <w:tr w14:paraId="6D13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7" w:type="dxa"/>
            <w:vMerge w:val="restart"/>
            <w:tcBorders>
              <w:top w:val="single" w:color="auto" w:sz="4" w:space="0"/>
              <w:left w:val="single" w:color="auto" w:sz="4" w:space="0"/>
              <w:right w:val="single" w:color="auto" w:sz="4" w:space="0"/>
            </w:tcBorders>
            <w:noWrap w:val="0"/>
            <w:vAlign w:val="center"/>
          </w:tcPr>
          <w:p w14:paraId="0BC39451">
            <w:pPr>
              <w:keepNext w:val="0"/>
              <w:keepLines w:val="0"/>
              <w:pageBreakBefore w:val="0"/>
              <w:kinsoku/>
              <w:wordWrap/>
              <w:topLinePunct w:val="0"/>
              <w:autoSpaceDE w:val="0"/>
              <w:autoSpaceDN w:val="0"/>
              <w:bidi w:val="0"/>
              <w:adjustRightInd w:val="0"/>
              <w:spacing w:line="560" w:lineRule="exact"/>
              <w:ind w:left="414" w:leftChars="14" w:hanging="370" w:hangingChars="157"/>
              <w:jc w:val="center"/>
              <w:rPr>
                <w:rFonts w:ascii="宋体" w:hAnsi="宋体"/>
                <w:kern w:val="0"/>
                <w:sz w:val="24"/>
                <w:lang w:eastAsia="zh-TW"/>
              </w:rPr>
            </w:pPr>
            <w:r>
              <w:rPr>
                <w:rFonts w:ascii="宋体" w:hAnsi="宋体"/>
                <w:kern w:val="0"/>
                <w:sz w:val="24"/>
                <w:lang w:eastAsia="zh-TW"/>
              </w:rPr>
              <w:t>申</w:t>
            </w:r>
          </w:p>
          <w:p w14:paraId="74EB6ADE">
            <w:pPr>
              <w:keepNext w:val="0"/>
              <w:keepLines w:val="0"/>
              <w:pageBreakBefore w:val="0"/>
              <w:kinsoku/>
              <w:wordWrap/>
              <w:topLinePunct w:val="0"/>
              <w:autoSpaceDE w:val="0"/>
              <w:autoSpaceDN w:val="0"/>
              <w:bidi w:val="0"/>
              <w:adjustRightInd w:val="0"/>
              <w:spacing w:line="560" w:lineRule="exact"/>
              <w:ind w:left="414" w:leftChars="14" w:hanging="370" w:hangingChars="157"/>
              <w:jc w:val="center"/>
              <w:rPr>
                <w:rFonts w:ascii="宋体" w:hAnsi="宋体"/>
                <w:kern w:val="0"/>
                <w:sz w:val="24"/>
              </w:rPr>
            </w:pPr>
            <w:r>
              <w:rPr>
                <w:rFonts w:ascii="宋体" w:hAnsi="宋体"/>
                <w:kern w:val="0"/>
                <w:sz w:val="24"/>
                <w:lang w:eastAsia="zh-TW"/>
              </w:rPr>
              <w:t>请</w:t>
            </w:r>
          </w:p>
          <w:p w14:paraId="3063F999">
            <w:pPr>
              <w:keepNext w:val="0"/>
              <w:keepLines w:val="0"/>
              <w:pageBreakBefore w:val="0"/>
              <w:kinsoku/>
              <w:wordWrap/>
              <w:topLinePunct w:val="0"/>
              <w:autoSpaceDE w:val="0"/>
              <w:autoSpaceDN w:val="0"/>
              <w:bidi w:val="0"/>
              <w:adjustRightInd w:val="0"/>
              <w:spacing w:line="560" w:lineRule="exact"/>
              <w:ind w:left="377" w:hanging="370" w:hangingChars="157"/>
              <w:jc w:val="center"/>
              <w:rPr>
                <w:rFonts w:ascii="宋体" w:hAnsi="宋体"/>
                <w:kern w:val="0"/>
                <w:sz w:val="24"/>
              </w:rPr>
            </w:pPr>
            <w:r>
              <w:rPr>
                <w:rFonts w:ascii="宋体" w:hAnsi="宋体"/>
                <w:kern w:val="0"/>
                <w:sz w:val="24"/>
                <w:lang w:eastAsia="zh-TW"/>
              </w:rPr>
              <w:t>单</w:t>
            </w:r>
          </w:p>
          <w:p w14:paraId="238924CD">
            <w:pPr>
              <w:keepNext w:val="0"/>
              <w:keepLines w:val="0"/>
              <w:pageBreakBefore w:val="0"/>
              <w:kinsoku/>
              <w:wordWrap/>
              <w:topLinePunct w:val="0"/>
              <w:autoSpaceDE w:val="0"/>
              <w:autoSpaceDN w:val="0"/>
              <w:bidi w:val="0"/>
              <w:adjustRightInd w:val="0"/>
              <w:spacing w:line="560" w:lineRule="exact"/>
              <w:ind w:left="377" w:hanging="370" w:hangingChars="157"/>
              <w:jc w:val="center"/>
              <w:rPr>
                <w:rFonts w:ascii="宋体" w:hAnsi="宋体"/>
                <w:kern w:val="0"/>
                <w:sz w:val="24"/>
              </w:rPr>
            </w:pPr>
            <w:r>
              <w:rPr>
                <w:rFonts w:ascii="宋体" w:hAnsi="宋体"/>
                <w:kern w:val="0"/>
                <w:sz w:val="24"/>
                <w:lang w:eastAsia="zh-TW"/>
              </w:rPr>
              <w:t>位</w:t>
            </w:r>
          </w:p>
        </w:tc>
        <w:tc>
          <w:tcPr>
            <w:tcW w:w="1703" w:type="dxa"/>
            <w:tcBorders>
              <w:top w:val="single" w:color="auto" w:sz="4" w:space="0"/>
              <w:left w:val="single" w:color="auto" w:sz="4" w:space="0"/>
              <w:bottom w:val="nil"/>
              <w:right w:val="nil"/>
            </w:tcBorders>
            <w:noWrap w:val="0"/>
            <w:vAlign w:val="center"/>
          </w:tcPr>
          <w:p w14:paraId="65D065FE">
            <w:pPr>
              <w:keepNext w:val="0"/>
              <w:keepLines w:val="0"/>
              <w:pageBreakBefore w:val="0"/>
              <w:kinsoku/>
              <w:wordWrap/>
              <w:topLinePunct w:val="0"/>
              <w:autoSpaceDE w:val="0"/>
              <w:autoSpaceDN w:val="0"/>
              <w:bidi w:val="0"/>
              <w:adjustRightInd w:val="0"/>
              <w:spacing w:line="560" w:lineRule="exact"/>
              <w:ind w:right="24"/>
              <w:jc w:val="center"/>
              <w:rPr>
                <w:rFonts w:ascii="宋体" w:hAnsi="宋体"/>
                <w:kern w:val="0"/>
                <w:sz w:val="24"/>
              </w:rPr>
            </w:pPr>
            <w:r>
              <w:rPr>
                <w:rFonts w:ascii="宋体" w:hAnsi="宋体"/>
                <w:kern w:val="0"/>
                <w:sz w:val="24"/>
                <w:lang w:eastAsia="zh-TW"/>
              </w:rPr>
              <w:t>名</w:t>
            </w:r>
            <w:r>
              <w:rPr>
                <w:rFonts w:ascii="宋体" w:hAnsi="宋体"/>
                <w:kern w:val="0"/>
                <w:sz w:val="24"/>
              </w:rPr>
              <w:t xml:space="preserve">     </w:t>
            </w:r>
            <w:r>
              <w:rPr>
                <w:rFonts w:ascii="宋体" w:hAnsi="宋体"/>
                <w:kern w:val="0"/>
                <w:sz w:val="24"/>
                <w:lang w:eastAsia="zh-TW"/>
              </w:rPr>
              <w:t>称</w:t>
            </w:r>
          </w:p>
        </w:tc>
        <w:tc>
          <w:tcPr>
            <w:tcW w:w="6830" w:type="dxa"/>
            <w:gridSpan w:val="4"/>
            <w:tcBorders>
              <w:top w:val="single" w:color="auto" w:sz="4" w:space="0"/>
              <w:left w:val="single" w:color="auto" w:sz="4" w:space="0"/>
              <w:bottom w:val="nil"/>
              <w:right w:val="single" w:color="auto" w:sz="4" w:space="0"/>
            </w:tcBorders>
            <w:noWrap w:val="0"/>
            <w:vAlign w:val="center"/>
          </w:tcPr>
          <w:p w14:paraId="743C7686">
            <w:pPr>
              <w:keepNext w:val="0"/>
              <w:keepLines w:val="0"/>
              <w:pageBreakBefore w:val="0"/>
              <w:kinsoku/>
              <w:wordWrap/>
              <w:topLinePunct w:val="0"/>
              <w:autoSpaceDE w:val="0"/>
              <w:autoSpaceDN w:val="0"/>
              <w:bidi w:val="0"/>
              <w:adjustRightInd w:val="0"/>
              <w:spacing w:line="560" w:lineRule="exact"/>
              <w:jc w:val="center"/>
              <w:rPr>
                <w:rFonts w:hint="eastAsia" w:ascii="宋体" w:hAnsi="宋体"/>
                <w:kern w:val="0"/>
                <w:sz w:val="24"/>
              </w:rPr>
            </w:pPr>
          </w:p>
        </w:tc>
      </w:tr>
      <w:tr w14:paraId="08F9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1187" w:type="dxa"/>
            <w:vMerge w:val="continue"/>
            <w:tcBorders>
              <w:left w:val="single" w:color="auto" w:sz="4" w:space="0"/>
              <w:right w:val="single" w:color="auto" w:sz="4" w:space="0"/>
            </w:tcBorders>
            <w:noWrap w:val="0"/>
            <w:vAlign w:val="center"/>
          </w:tcPr>
          <w:p w14:paraId="4BDF52BB">
            <w:pPr>
              <w:keepNext w:val="0"/>
              <w:keepLines w:val="0"/>
              <w:pageBreakBefore w:val="0"/>
              <w:kinsoku/>
              <w:wordWrap/>
              <w:topLinePunct w:val="0"/>
              <w:autoSpaceDE w:val="0"/>
              <w:autoSpaceDN w:val="0"/>
              <w:bidi w:val="0"/>
              <w:adjustRightInd w:val="0"/>
              <w:spacing w:line="560" w:lineRule="exact"/>
              <w:jc w:val="center"/>
              <w:rPr>
                <w:rFonts w:ascii="宋体" w:hAnsi="宋体"/>
                <w:kern w:val="0"/>
                <w:sz w:val="24"/>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14:paraId="23D038B9">
            <w:pPr>
              <w:keepNext w:val="0"/>
              <w:keepLines w:val="0"/>
              <w:pageBreakBefore w:val="0"/>
              <w:kinsoku/>
              <w:wordWrap/>
              <w:topLinePunct w:val="0"/>
              <w:autoSpaceDE w:val="0"/>
              <w:autoSpaceDN w:val="0"/>
              <w:bidi w:val="0"/>
              <w:adjustRightInd w:val="0"/>
              <w:spacing w:line="560" w:lineRule="exact"/>
              <w:ind w:firstLine="236" w:firstLineChars="100"/>
              <w:jc w:val="center"/>
              <w:rPr>
                <w:rFonts w:ascii="宋体" w:hAnsi="宋体"/>
                <w:kern w:val="0"/>
                <w:sz w:val="24"/>
              </w:rPr>
            </w:pPr>
            <w:r>
              <w:rPr>
                <w:rFonts w:ascii="宋体" w:hAnsi="宋体"/>
                <w:kern w:val="0"/>
                <w:sz w:val="24"/>
                <w:lang w:eastAsia="zh-TW"/>
              </w:rPr>
              <w:t>通</w:t>
            </w:r>
            <w:r>
              <w:rPr>
                <w:rFonts w:ascii="宋体" w:hAnsi="宋体"/>
                <w:kern w:val="0"/>
                <w:sz w:val="24"/>
              </w:rPr>
              <w:t xml:space="preserve"> </w:t>
            </w:r>
            <w:r>
              <w:rPr>
                <w:rFonts w:ascii="宋体" w:hAnsi="宋体"/>
                <w:kern w:val="0"/>
                <w:sz w:val="24"/>
                <w:lang w:eastAsia="zh-TW"/>
              </w:rPr>
              <w:t>讯</w:t>
            </w:r>
            <w:r>
              <w:rPr>
                <w:rFonts w:ascii="宋体" w:hAnsi="宋体"/>
                <w:kern w:val="0"/>
                <w:sz w:val="24"/>
              </w:rPr>
              <w:t xml:space="preserve"> </w:t>
            </w:r>
            <w:r>
              <w:rPr>
                <w:rFonts w:ascii="宋体" w:hAnsi="宋体"/>
                <w:kern w:val="0"/>
                <w:sz w:val="24"/>
                <w:lang w:eastAsia="zh-TW"/>
              </w:rPr>
              <w:t>地</w:t>
            </w:r>
            <w:r>
              <w:rPr>
                <w:rFonts w:ascii="宋体" w:hAnsi="宋体"/>
                <w:kern w:val="0"/>
                <w:sz w:val="24"/>
              </w:rPr>
              <w:t xml:space="preserve"> </w:t>
            </w:r>
            <w:r>
              <w:rPr>
                <w:rFonts w:ascii="宋体" w:hAnsi="宋体"/>
                <w:kern w:val="0"/>
                <w:sz w:val="24"/>
                <w:lang w:eastAsia="zh-TW"/>
              </w:rPr>
              <w:t>址</w:t>
            </w:r>
          </w:p>
        </w:tc>
        <w:tc>
          <w:tcPr>
            <w:tcW w:w="3612" w:type="dxa"/>
            <w:gridSpan w:val="2"/>
            <w:tcBorders>
              <w:top w:val="single" w:color="auto" w:sz="4" w:space="0"/>
              <w:left w:val="single" w:color="auto" w:sz="4" w:space="0"/>
              <w:bottom w:val="single" w:color="auto" w:sz="4" w:space="0"/>
              <w:right w:val="single" w:color="auto" w:sz="4" w:space="0"/>
            </w:tcBorders>
            <w:noWrap w:val="0"/>
            <w:vAlign w:val="center"/>
          </w:tcPr>
          <w:p w14:paraId="02A3C621">
            <w:pPr>
              <w:keepNext w:val="0"/>
              <w:keepLines w:val="0"/>
              <w:pageBreakBefore w:val="0"/>
              <w:kinsoku/>
              <w:wordWrap/>
              <w:topLinePunct w:val="0"/>
              <w:autoSpaceDE w:val="0"/>
              <w:autoSpaceDN w:val="0"/>
              <w:bidi w:val="0"/>
              <w:adjustRightInd w:val="0"/>
              <w:spacing w:line="560" w:lineRule="exact"/>
              <w:jc w:val="center"/>
              <w:rPr>
                <w:rFonts w:hint="eastAsia" w:ascii="宋体" w:hAnsi="宋体"/>
                <w:kern w:val="0"/>
                <w:sz w:val="24"/>
              </w:rPr>
            </w:pPr>
            <w:r>
              <w:rPr>
                <w:rFonts w:hint="eastAsia" w:ascii="宋体" w:hAnsi="宋体"/>
                <w:kern w:val="0"/>
                <w:sz w:val="24"/>
              </w:rPr>
              <w:t xml:space="preserve"> </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E60F1FB">
            <w:pPr>
              <w:keepNext w:val="0"/>
              <w:keepLines w:val="0"/>
              <w:pageBreakBefore w:val="0"/>
              <w:kinsoku/>
              <w:wordWrap/>
              <w:topLinePunct w:val="0"/>
              <w:autoSpaceDE w:val="0"/>
              <w:autoSpaceDN w:val="0"/>
              <w:bidi w:val="0"/>
              <w:adjustRightInd w:val="0"/>
              <w:spacing w:line="560" w:lineRule="exact"/>
              <w:jc w:val="center"/>
              <w:rPr>
                <w:rFonts w:ascii="宋体" w:hAnsi="宋体"/>
                <w:kern w:val="0"/>
                <w:sz w:val="24"/>
              </w:rPr>
            </w:pPr>
            <w:r>
              <w:rPr>
                <w:rFonts w:ascii="宋体" w:hAnsi="宋体"/>
                <w:kern w:val="0"/>
                <w:sz w:val="24"/>
                <w:lang w:eastAsia="zh-TW"/>
              </w:rPr>
              <w:t>邮编</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5CBECC06">
            <w:pPr>
              <w:keepNext w:val="0"/>
              <w:keepLines w:val="0"/>
              <w:pageBreakBefore w:val="0"/>
              <w:kinsoku/>
              <w:wordWrap/>
              <w:topLinePunct w:val="0"/>
              <w:autoSpaceDE w:val="0"/>
              <w:autoSpaceDN w:val="0"/>
              <w:bidi w:val="0"/>
              <w:adjustRightInd w:val="0"/>
              <w:spacing w:line="560" w:lineRule="exact"/>
              <w:jc w:val="center"/>
              <w:rPr>
                <w:rFonts w:hint="eastAsia" w:ascii="宋体" w:hAnsi="宋体"/>
                <w:kern w:val="0"/>
                <w:sz w:val="24"/>
              </w:rPr>
            </w:pPr>
            <w:r>
              <w:rPr>
                <w:rFonts w:hint="eastAsia" w:ascii="宋体" w:hAnsi="宋体"/>
                <w:kern w:val="0"/>
                <w:sz w:val="24"/>
              </w:rPr>
              <w:t xml:space="preserve"> </w:t>
            </w:r>
          </w:p>
        </w:tc>
      </w:tr>
      <w:tr w14:paraId="36BF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exact"/>
          <w:jc w:val="center"/>
        </w:trPr>
        <w:tc>
          <w:tcPr>
            <w:tcW w:w="1187" w:type="dxa"/>
            <w:vMerge w:val="continue"/>
            <w:tcBorders>
              <w:left w:val="single" w:color="auto" w:sz="4" w:space="0"/>
              <w:bottom w:val="single" w:color="auto" w:sz="4" w:space="0"/>
              <w:right w:val="single" w:color="auto" w:sz="4" w:space="0"/>
            </w:tcBorders>
            <w:noWrap w:val="0"/>
            <w:vAlign w:val="center"/>
          </w:tcPr>
          <w:p w14:paraId="00611F04">
            <w:pPr>
              <w:keepNext w:val="0"/>
              <w:keepLines w:val="0"/>
              <w:pageBreakBefore w:val="0"/>
              <w:kinsoku/>
              <w:wordWrap/>
              <w:topLinePunct w:val="0"/>
              <w:autoSpaceDE w:val="0"/>
              <w:autoSpaceDN w:val="0"/>
              <w:bidi w:val="0"/>
              <w:adjustRightInd w:val="0"/>
              <w:spacing w:line="560" w:lineRule="exact"/>
              <w:jc w:val="center"/>
              <w:rPr>
                <w:rFonts w:ascii="宋体" w:hAnsi="宋体"/>
                <w:kern w:val="0"/>
                <w:sz w:val="24"/>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14:paraId="678FECAB">
            <w:pPr>
              <w:keepNext w:val="0"/>
              <w:keepLines w:val="0"/>
              <w:pageBreakBefore w:val="0"/>
              <w:kinsoku/>
              <w:wordWrap/>
              <w:topLinePunct w:val="0"/>
              <w:autoSpaceDE w:val="0"/>
              <w:autoSpaceDN w:val="0"/>
              <w:bidi w:val="0"/>
              <w:adjustRightInd w:val="0"/>
              <w:spacing w:line="560" w:lineRule="exact"/>
              <w:ind w:firstLine="236" w:firstLineChars="100"/>
              <w:jc w:val="center"/>
              <w:rPr>
                <w:rFonts w:ascii="宋体" w:hAnsi="宋体"/>
                <w:kern w:val="0"/>
                <w:sz w:val="24"/>
              </w:rPr>
            </w:pPr>
            <w:r>
              <w:rPr>
                <w:rFonts w:ascii="宋体" w:hAnsi="宋体"/>
                <w:kern w:val="0"/>
                <w:sz w:val="24"/>
                <w:lang w:eastAsia="zh-TW"/>
              </w:rPr>
              <w:t>经</w:t>
            </w:r>
            <w:r>
              <w:rPr>
                <w:rFonts w:ascii="宋体" w:hAnsi="宋体"/>
                <w:kern w:val="0"/>
                <w:sz w:val="24"/>
              </w:rPr>
              <w:t xml:space="preserve">  </w:t>
            </w:r>
            <w:r>
              <w:rPr>
                <w:rFonts w:ascii="宋体" w:hAnsi="宋体"/>
                <w:kern w:val="0"/>
                <w:sz w:val="24"/>
                <w:lang w:eastAsia="zh-TW"/>
              </w:rPr>
              <w:t>办</w:t>
            </w:r>
            <w:r>
              <w:rPr>
                <w:rFonts w:ascii="宋体" w:hAnsi="宋体"/>
                <w:kern w:val="0"/>
                <w:sz w:val="24"/>
              </w:rPr>
              <w:t xml:space="preserve">  </w:t>
            </w:r>
            <w:r>
              <w:rPr>
                <w:rFonts w:ascii="宋体" w:hAnsi="宋体"/>
                <w:kern w:val="0"/>
                <w:sz w:val="24"/>
                <w:lang w:eastAsia="zh-TW"/>
              </w:rPr>
              <w:t>人</w:t>
            </w:r>
          </w:p>
        </w:tc>
        <w:tc>
          <w:tcPr>
            <w:tcW w:w="3612" w:type="dxa"/>
            <w:gridSpan w:val="2"/>
            <w:tcBorders>
              <w:top w:val="single" w:color="auto" w:sz="4" w:space="0"/>
              <w:left w:val="single" w:color="auto" w:sz="4" w:space="0"/>
              <w:bottom w:val="single" w:color="auto" w:sz="4" w:space="0"/>
              <w:right w:val="single" w:color="auto" w:sz="4" w:space="0"/>
            </w:tcBorders>
            <w:noWrap w:val="0"/>
            <w:vAlign w:val="center"/>
          </w:tcPr>
          <w:p w14:paraId="5D64EFDE">
            <w:pPr>
              <w:keepNext w:val="0"/>
              <w:keepLines w:val="0"/>
              <w:pageBreakBefore w:val="0"/>
              <w:kinsoku/>
              <w:wordWrap/>
              <w:topLinePunct w:val="0"/>
              <w:autoSpaceDE w:val="0"/>
              <w:autoSpaceDN w:val="0"/>
              <w:bidi w:val="0"/>
              <w:adjustRightInd w:val="0"/>
              <w:spacing w:line="560" w:lineRule="exact"/>
              <w:jc w:val="center"/>
              <w:rPr>
                <w:rFonts w:hint="eastAsia" w:ascii="宋体" w:hAnsi="宋体"/>
                <w:kern w:val="0"/>
                <w:sz w:val="24"/>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4F5BA00B">
            <w:pPr>
              <w:keepNext w:val="0"/>
              <w:keepLines w:val="0"/>
              <w:pageBreakBefore w:val="0"/>
              <w:kinsoku/>
              <w:wordWrap/>
              <w:topLinePunct w:val="0"/>
              <w:autoSpaceDE w:val="0"/>
              <w:autoSpaceDN w:val="0"/>
              <w:bidi w:val="0"/>
              <w:adjustRightInd w:val="0"/>
              <w:spacing w:line="560" w:lineRule="exact"/>
              <w:jc w:val="center"/>
              <w:rPr>
                <w:rFonts w:ascii="宋体" w:hAnsi="宋体"/>
                <w:kern w:val="0"/>
                <w:sz w:val="24"/>
              </w:rPr>
            </w:pPr>
            <w:r>
              <w:rPr>
                <w:rFonts w:ascii="宋体" w:hAnsi="宋体"/>
                <w:kern w:val="0"/>
                <w:sz w:val="24"/>
                <w:lang w:eastAsia="zh-TW"/>
              </w:rPr>
              <w:t>电话</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535CC5B2">
            <w:pPr>
              <w:keepNext w:val="0"/>
              <w:keepLines w:val="0"/>
              <w:pageBreakBefore w:val="0"/>
              <w:kinsoku/>
              <w:wordWrap/>
              <w:topLinePunct w:val="0"/>
              <w:autoSpaceDE w:val="0"/>
              <w:autoSpaceDN w:val="0"/>
              <w:bidi w:val="0"/>
              <w:adjustRightInd w:val="0"/>
              <w:spacing w:line="560" w:lineRule="exact"/>
              <w:jc w:val="center"/>
              <w:rPr>
                <w:rFonts w:ascii="宋体" w:hAnsi="宋体"/>
                <w:kern w:val="0"/>
                <w:sz w:val="24"/>
              </w:rPr>
            </w:pPr>
            <w:r>
              <w:rPr>
                <w:rFonts w:hint="eastAsia" w:ascii="宋体" w:hAnsi="宋体"/>
                <w:kern w:val="0"/>
                <w:sz w:val="24"/>
              </w:rPr>
              <w:t xml:space="preserve"> </w:t>
            </w:r>
          </w:p>
        </w:tc>
      </w:tr>
      <w:tr w14:paraId="590E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1187" w:type="dxa"/>
            <w:vMerge w:val="restart"/>
            <w:tcBorders>
              <w:top w:val="single" w:color="auto" w:sz="4" w:space="0"/>
              <w:left w:val="single" w:color="auto" w:sz="4" w:space="0"/>
              <w:right w:val="single" w:color="auto" w:sz="4" w:space="0"/>
            </w:tcBorders>
            <w:noWrap w:val="0"/>
            <w:vAlign w:val="center"/>
          </w:tcPr>
          <w:p w14:paraId="0B0B59A5">
            <w:pPr>
              <w:keepNext w:val="0"/>
              <w:keepLines w:val="0"/>
              <w:pageBreakBefore w:val="0"/>
              <w:kinsoku/>
              <w:wordWrap/>
              <w:topLinePunct w:val="0"/>
              <w:autoSpaceDE w:val="0"/>
              <w:autoSpaceDN w:val="0"/>
              <w:bidi w:val="0"/>
              <w:adjustRightInd w:val="0"/>
              <w:spacing w:line="560" w:lineRule="exact"/>
              <w:ind w:left="377" w:hanging="370" w:hangingChars="157"/>
              <w:jc w:val="center"/>
              <w:rPr>
                <w:rFonts w:ascii="宋体" w:hAnsi="宋体"/>
                <w:kern w:val="0"/>
                <w:sz w:val="24"/>
              </w:rPr>
            </w:pPr>
            <w:r>
              <w:rPr>
                <w:rFonts w:ascii="宋体" w:hAnsi="宋体"/>
                <w:kern w:val="0"/>
                <w:sz w:val="24"/>
                <w:lang w:eastAsia="zh-TW"/>
              </w:rPr>
              <w:t>施</w:t>
            </w:r>
          </w:p>
          <w:p w14:paraId="62F39543">
            <w:pPr>
              <w:keepNext w:val="0"/>
              <w:keepLines w:val="0"/>
              <w:pageBreakBefore w:val="0"/>
              <w:kinsoku/>
              <w:wordWrap/>
              <w:topLinePunct w:val="0"/>
              <w:autoSpaceDE w:val="0"/>
              <w:autoSpaceDN w:val="0"/>
              <w:bidi w:val="0"/>
              <w:adjustRightInd w:val="0"/>
              <w:spacing w:line="560" w:lineRule="exact"/>
              <w:ind w:left="377" w:hanging="370" w:hangingChars="157"/>
              <w:jc w:val="center"/>
              <w:rPr>
                <w:rFonts w:ascii="宋体" w:hAnsi="宋体"/>
                <w:kern w:val="0"/>
                <w:sz w:val="24"/>
              </w:rPr>
            </w:pPr>
            <w:r>
              <w:rPr>
                <w:rFonts w:ascii="宋体" w:hAnsi="宋体"/>
                <w:kern w:val="0"/>
                <w:sz w:val="24"/>
                <w:lang w:eastAsia="zh-TW"/>
              </w:rPr>
              <w:t>工</w:t>
            </w:r>
          </w:p>
          <w:p w14:paraId="30BF7E77">
            <w:pPr>
              <w:keepNext w:val="0"/>
              <w:keepLines w:val="0"/>
              <w:pageBreakBefore w:val="0"/>
              <w:kinsoku/>
              <w:wordWrap/>
              <w:topLinePunct w:val="0"/>
              <w:autoSpaceDE w:val="0"/>
              <w:autoSpaceDN w:val="0"/>
              <w:bidi w:val="0"/>
              <w:adjustRightInd w:val="0"/>
              <w:spacing w:line="560" w:lineRule="exact"/>
              <w:ind w:left="377" w:hanging="370" w:hangingChars="157"/>
              <w:jc w:val="center"/>
              <w:rPr>
                <w:rFonts w:ascii="宋体" w:hAnsi="宋体"/>
                <w:kern w:val="0"/>
                <w:sz w:val="24"/>
              </w:rPr>
            </w:pPr>
            <w:r>
              <w:rPr>
                <w:rFonts w:ascii="宋体" w:hAnsi="宋体"/>
                <w:kern w:val="0"/>
                <w:sz w:val="24"/>
                <w:lang w:eastAsia="zh-TW"/>
              </w:rPr>
              <w:t>单</w:t>
            </w:r>
          </w:p>
          <w:p w14:paraId="43D0E814">
            <w:pPr>
              <w:keepNext w:val="0"/>
              <w:keepLines w:val="0"/>
              <w:pageBreakBefore w:val="0"/>
              <w:kinsoku/>
              <w:wordWrap/>
              <w:topLinePunct w:val="0"/>
              <w:autoSpaceDE w:val="0"/>
              <w:autoSpaceDN w:val="0"/>
              <w:bidi w:val="0"/>
              <w:adjustRightInd w:val="0"/>
              <w:spacing w:line="560" w:lineRule="exact"/>
              <w:ind w:left="377" w:hanging="370" w:hangingChars="157"/>
              <w:jc w:val="center"/>
              <w:rPr>
                <w:rFonts w:ascii="宋体" w:hAnsi="宋体"/>
                <w:kern w:val="0"/>
                <w:sz w:val="24"/>
              </w:rPr>
            </w:pPr>
            <w:r>
              <w:rPr>
                <w:rFonts w:ascii="宋体" w:hAnsi="宋体"/>
                <w:kern w:val="0"/>
                <w:sz w:val="24"/>
                <w:lang w:eastAsia="zh-TW"/>
              </w:rPr>
              <w:t>位</w:t>
            </w:r>
          </w:p>
        </w:tc>
        <w:tc>
          <w:tcPr>
            <w:tcW w:w="1703" w:type="dxa"/>
            <w:tcBorders>
              <w:top w:val="single" w:color="auto" w:sz="4" w:space="0"/>
              <w:left w:val="single" w:color="auto" w:sz="4" w:space="0"/>
              <w:bottom w:val="single" w:color="auto" w:sz="4" w:space="0"/>
              <w:right w:val="nil"/>
            </w:tcBorders>
            <w:noWrap w:val="0"/>
            <w:vAlign w:val="center"/>
          </w:tcPr>
          <w:p w14:paraId="6A845CC0">
            <w:pPr>
              <w:keepNext w:val="0"/>
              <w:keepLines w:val="0"/>
              <w:pageBreakBefore w:val="0"/>
              <w:kinsoku/>
              <w:wordWrap/>
              <w:topLinePunct w:val="0"/>
              <w:autoSpaceDE w:val="0"/>
              <w:autoSpaceDN w:val="0"/>
              <w:bidi w:val="0"/>
              <w:adjustRightInd w:val="0"/>
              <w:spacing w:line="560" w:lineRule="exact"/>
              <w:ind w:right="24"/>
              <w:jc w:val="center"/>
              <w:rPr>
                <w:rFonts w:ascii="宋体" w:hAnsi="宋体"/>
                <w:kern w:val="0"/>
                <w:sz w:val="24"/>
              </w:rPr>
            </w:pPr>
            <w:r>
              <w:rPr>
                <w:rFonts w:ascii="宋体" w:hAnsi="宋体"/>
                <w:kern w:val="0"/>
                <w:sz w:val="24"/>
                <w:lang w:eastAsia="zh-TW"/>
              </w:rPr>
              <w:t>名</w:t>
            </w:r>
            <w:r>
              <w:rPr>
                <w:rFonts w:ascii="宋体" w:hAnsi="宋体"/>
                <w:kern w:val="0"/>
                <w:sz w:val="24"/>
              </w:rPr>
              <w:t xml:space="preserve">      </w:t>
            </w:r>
            <w:r>
              <w:rPr>
                <w:rFonts w:ascii="宋体" w:hAnsi="宋体"/>
                <w:kern w:val="0"/>
                <w:sz w:val="24"/>
                <w:lang w:eastAsia="zh-TW"/>
              </w:rPr>
              <w:t>称</w:t>
            </w:r>
          </w:p>
        </w:tc>
        <w:tc>
          <w:tcPr>
            <w:tcW w:w="6830" w:type="dxa"/>
            <w:gridSpan w:val="4"/>
            <w:tcBorders>
              <w:top w:val="single" w:color="auto" w:sz="4" w:space="0"/>
              <w:left w:val="single" w:color="auto" w:sz="4" w:space="0"/>
              <w:bottom w:val="single" w:color="auto" w:sz="4" w:space="0"/>
              <w:right w:val="single" w:color="auto" w:sz="4" w:space="0"/>
            </w:tcBorders>
            <w:noWrap w:val="0"/>
            <w:vAlign w:val="center"/>
          </w:tcPr>
          <w:p w14:paraId="64E74E5F">
            <w:pPr>
              <w:keepNext w:val="0"/>
              <w:keepLines w:val="0"/>
              <w:pageBreakBefore w:val="0"/>
              <w:kinsoku/>
              <w:wordWrap/>
              <w:topLinePunct w:val="0"/>
              <w:bidi w:val="0"/>
              <w:spacing w:line="560" w:lineRule="exact"/>
              <w:jc w:val="center"/>
              <w:rPr>
                <w:rFonts w:ascii="宋体" w:hAnsi="宋体"/>
                <w:kern w:val="0"/>
                <w:sz w:val="24"/>
              </w:rPr>
            </w:pPr>
          </w:p>
        </w:tc>
      </w:tr>
      <w:tr w14:paraId="327F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1187" w:type="dxa"/>
            <w:vMerge w:val="continue"/>
            <w:tcBorders>
              <w:left w:val="single" w:color="auto" w:sz="4" w:space="0"/>
              <w:right w:val="single" w:color="auto" w:sz="4" w:space="0"/>
            </w:tcBorders>
            <w:noWrap w:val="0"/>
            <w:vAlign w:val="center"/>
          </w:tcPr>
          <w:p w14:paraId="7F0A6D0C">
            <w:pPr>
              <w:keepNext w:val="0"/>
              <w:keepLines w:val="0"/>
              <w:pageBreakBefore w:val="0"/>
              <w:kinsoku/>
              <w:wordWrap/>
              <w:topLinePunct w:val="0"/>
              <w:autoSpaceDE w:val="0"/>
              <w:autoSpaceDN w:val="0"/>
              <w:bidi w:val="0"/>
              <w:adjustRightInd w:val="0"/>
              <w:spacing w:line="560" w:lineRule="exact"/>
              <w:jc w:val="center"/>
              <w:rPr>
                <w:rFonts w:ascii="宋体" w:hAnsi="宋体"/>
                <w:kern w:val="0"/>
                <w:sz w:val="24"/>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14:paraId="6877EBA7">
            <w:pPr>
              <w:keepNext w:val="0"/>
              <w:keepLines w:val="0"/>
              <w:pageBreakBefore w:val="0"/>
              <w:kinsoku/>
              <w:wordWrap/>
              <w:topLinePunct w:val="0"/>
              <w:autoSpaceDE w:val="0"/>
              <w:autoSpaceDN w:val="0"/>
              <w:bidi w:val="0"/>
              <w:adjustRightInd w:val="0"/>
              <w:spacing w:line="560" w:lineRule="exact"/>
              <w:jc w:val="center"/>
              <w:rPr>
                <w:rFonts w:ascii="宋体" w:hAnsi="宋体"/>
                <w:kern w:val="0"/>
                <w:sz w:val="24"/>
              </w:rPr>
            </w:pPr>
            <w:r>
              <w:rPr>
                <w:rFonts w:ascii="宋体" w:hAnsi="宋体"/>
                <w:kern w:val="0"/>
                <w:sz w:val="24"/>
                <w:lang w:eastAsia="zh-TW"/>
              </w:rPr>
              <w:t>通</w:t>
            </w:r>
            <w:r>
              <w:rPr>
                <w:rFonts w:ascii="宋体" w:hAnsi="宋体"/>
                <w:kern w:val="0"/>
                <w:sz w:val="24"/>
              </w:rPr>
              <w:t xml:space="preserve"> </w:t>
            </w:r>
            <w:r>
              <w:rPr>
                <w:rFonts w:ascii="宋体" w:hAnsi="宋体"/>
                <w:kern w:val="0"/>
                <w:sz w:val="24"/>
                <w:lang w:eastAsia="zh-TW"/>
              </w:rPr>
              <w:t>讯</w:t>
            </w:r>
            <w:r>
              <w:rPr>
                <w:rFonts w:ascii="宋体" w:hAnsi="宋体"/>
                <w:kern w:val="0"/>
                <w:sz w:val="24"/>
              </w:rPr>
              <w:t xml:space="preserve"> </w:t>
            </w:r>
            <w:r>
              <w:rPr>
                <w:rFonts w:ascii="宋体" w:hAnsi="宋体"/>
                <w:kern w:val="0"/>
                <w:sz w:val="24"/>
                <w:lang w:eastAsia="zh-TW"/>
              </w:rPr>
              <w:t>地</w:t>
            </w:r>
            <w:r>
              <w:rPr>
                <w:rFonts w:ascii="宋体" w:hAnsi="宋体"/>
                <w:kern w:val="0"/>
                <w:sz w:val="24"/>
              </w:rPr>
              <w:t xml:space="preserve"> </w:t>
            </w:r>
            <w:r>
              <w:rPr>
                <w:rFonts w:ascii="宋体" w:hAnsi="宋体"/>
                <w:kern w:val="0"/>
                <w:sz w:val="24"/>
                <w:lang w:eastAsia="zh-TW"/>
              </w:rPr>
              <w:t>址</w:t>
            </w:r>
          </w:p>
        </w:tc>
        <w:tc>
          <w:tcPr>
            <w:tcW w:w="3612" w:type="dxa"/>
            <w:gridSpan w:val="2"/>
            <w:tcBorders>
              <w:top w:val="single" w:color="auto" w:sz="4" w:space="0"/>
              <w:left w:val="single" w:color="auto" w:sz="4" w:space="0"/>
              <w:bottom w:val="single" w:color="auto" w:sz="4" w:space="0"/>
              <w:right w:val="single" w:color="auto" w:sz="4" w:space="0"/>
            </w:tcBorders>
            <w:noWrap w:val="0"/>
            <w:vAlign w:val="center"/>
          </w:tcPr>
          <w:p w14:paraId="78F29BAC">
            <w:pPr>
              <w:keepNext w:val="0"/>
              <w:keepLines w:val="0"/>
              <w:pageBreakBefore w:val="0"/>
              <w:kinsoku/>
              <w:wordWrap/>
              <w:topLinePunct w:val="0"/>
              <w:autoSpaceDE w:val="0"/>
              <w:autoSpaceDN w:val="0"/>
              <w:bidi w:val="0"/>
              <w:adjustRightInd w:val="0"/>
              <w:spacing w:line="560" w:lineRule="exact"/>
              <w:jc w:val="center"/>
              <w:rPr>
                <w:rFonts w:hint="eastAsia" w:ascii="宋体" w:hAnsi="宋体"/>
                <w:kern w:val="0"/>
                <w:sz w:val="24"/>
              </w:rPr>
            </w:pPr>
            <w:r>
              <w:rPr>
                <w:rFonts w:hint="eastAsia" w:ascii="宋体" w:hAnsi="宋体"/>
                <w:kern w:val="0"/>
                <w:sz w:val="24"/>
              </w:rPr>
              <w:t xml:space="preserve"> </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6B3F5819">
            <w:pPr>
              <w:keepNext w:val="0"/>
              <w:keepLines w:val="0"/>
              <w:pageBreakBefore w:val="0"/>
              <w:kinsoku/>
              <w:wordWrap/>
              <w:topLinePunct w:val="0"/>
              <w:autoSpaceDE w:val="0"/>
              <w:autoSpaceDN w:val="0"/>
              <w:bidi w:val="0"/>
              <w:adjustRightInd w:val="0"/>
              <w:spacing w:line="560" w:lineRule="exact"/>
              <w:jc w:val="center"/>
              <w:rPr>
                <w:rFonts w:ascii="宋体" w:hAnsi="宋体"/>
                <w:kern w:val="0"/>
                <w:sz w:val="24"/>
              </w:rPr>
            </w:pPr>
            <w:r>
              <w:rPr>
                <w:rFonts w:ascii="宋体" w:hAnsi="宋体"/>
                <w:kern w:val="0"/>
                <w:sz w:val="24"/>
                <w:lang w:eastAsia="zh-TW"/>
              </w:rPr>
              <w:t>邮编</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1B6A9D3B">
            <w:pPr>
              <w:keepNext w:val="0"/>
              <w:keepLines w:val="0"/>
              <w:pageBreakBefore w:val="0"/>
              <w:kinsoku/>
              <w:wordWrap/>
              <w:topLinePunct w:val="0"/>
              <w:autoSpaceDE w:val="0"/>
              <w:autoSpaceDN w:val="0"/>
              <w:bidi w:val="0"/>
              <w:adjustRightInd w:val="0"/>
              <w:spacing w:line="560" w:lineRule="exact"/>
              <w:jc w:val="center"/>
              <w:rPr>
                <w:rFonts w:hint="eastAsia" w:ascii="宋体" w:hAnsi="宋体"/>
                <w:kern w:val="0"/>
                <w:sz w:val="24"/>
              </w:rPr>
            </w:pPr>
            <w:r>
              <w:rPr>
                <w:rFonts w:hint="eastAsia" w:ascii="宋体" w:hAnsi="宋体"/>
                <w:kern w:val="0"/>
                <w:sz w:val="24"/>
              </w:rPr>
              <w:t xml:space="preserve"> </w:t>
            </w:r>
          </w:p>
        </w:tc>
      </w:tr>
      <w:tr w14:paraId="48AD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5" w:hRule="exact"/>
          <w:jc w:val="center"/>
        </w:trPr>
        <w:tc>
          <w:tcPr>
            <w:tcW w:w="1187" w:type="dxa"/>
            <w:vMerge w:val="continue"/>
            <w:tcBorders>
              <w:left w:val="single" w:color="auto" w:sz="4" w:space="0"/>
              <w:bottom w:val="single" w:color="auto" w:sz="4" w:space="0"/>
              <w:right w:val="single" w:color="auto" w:sz="4" w:space="0"/>
            </w:tcBorders>
            <w:noWrap w:val="0"/>
            <w:vAlign w:val="center"/>
          </w:tcPr>
          <w:p w14:paraId="3F2677CF">
            <w:pPr>
              <w:keepNext w:val="0"/>
              <w:keepLines w:val="0"/>
              <w:pageBreakBefore w:val="0"/>
              <w:kinsoku/>
              <w:wordWrap/>
              <w:topLinePunct w:val="0"/>
              <w:autoSpaceDE w:val="0"/>
              <w:autoSpaceDN w:val="0"/>
              <w:bidi w:val="0"/>
              <w:adjustRightInd w:val="0"/>
              <w:spacing w:line="560" w:lineRule="exact"/>
              <w:jc w:val="center"/>
              <w:rPr>
                <w:rFonts w:ascii="宋体" w:hAnsi="宋体"/>
                <w:kern w:val="0"/>
                <w:sz w:val="24"/>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14:paraId="5592BEA5">
            <w:pPr>
              <w:keepNext w:val="0"/>
              <w:keepLines w:val="0"/>
              <w:pageBreakBefore w:val="0"/>
              <w:kinsoku/>
              <w:wordWrap/>
              <w:topLinePunct w:val="0"/>
              <w:autoSpaceDE w:val="0"/>
              <w:autoSpaceDN w:val="0"/>
              <w:bidi w:val="0"/>
              <w:adjustRightInd w:val="0"/>
              <w:spacing w:line="560" w:lineRule="exact"/>
              <w:ind w:right="24"/>
              <w:jc w:val="center"/>
              <w:rPr>
                <w:rFonts w:ascii="宋体" w:hAnsi="宋体"/>
                <w:kern w:val="0"/>
                <w:sz w:val="24"/>
              </w:rPr>
            </w:pPr>
            <w:r>
              <w:rPr>
                <w:rFonts w:ascii="宋体" w:hAnsi="宋体"/>
                <w:kern w:val="0"/>
                <w:sz w:val="24"/>
                <w:lang w:eastAsia="zh-TW"/>
              </w:rPr>
              <w:t>经</w:t>
            </w:r>
            <w:r>
              <w:rPr>
                <w:rFonts w:ascii="宋体" w:hAnsi="宋体"/>
                <w:kern w:val="0"/>
                <w:sz w:val="24"/>
              </w:rPr>
              <w:t xml:space="preserve">  </w:t>
            </w:r>
            <w:r>
              <w:rPr>
                <w:rFonts w:ascii="宋体" w:hAnsi="宋体"/>
                <w:kern w:val="0"/>
                <w:sz w:val="24"/>
                <w:lang w:eastAsia="zh-TW"/>
              </w:rPr>
              <w:t>办</w:t>
            </w:r>
            <w:r>
              <w:rPr>
                <w:rFonts w:ascii="宋体" w:hAnsi="宋体"/>
                <w:kern w:val="0"/>
                <w:sz w:val="24"/>
              </w:rPr>
              <w:t xml:space="preserve">  </w:t>
            </w:r>
            <w:r>
              <w:rPr>
                <w:rFonts w:ascii="宋体" w:hAnsi="宋体"/>
                <w:kern w:val="0"/>
                <w:sz w:val="24"/>
                <w:lang w:eastAsia="zh-TW"/>
              </w:rPr>
              <w:t>人</w:t>
            </w:r>
          </w:p>
        </w:tc>
        <w:tc>
          <w:tcPr>
            <w:tcW w:w="3612" w:type="dxa"/>
            <w:gridSpan w:val="2"/>
            <w:tcBorders>
              <w:top w:val="single" w:color="auto" w:sz="4" w:space="0"/>
              <w:left w:val="single" w:color="auto" w:sz="4" w:space="0"/>
              <w:bottom w:val="single" w:color="auto" w:sz="4" w:space="0"/>
              <w:right w:val="single" w:color="auto" w:sz="4" w:space="0"/>
            </w:tcBorders>
            <w:noWrap w:val="0"/>
            <w:vAlign w:val="center"/>
          </w:tcPr>
          <w:p w14:paraId="43EDF117">
            <w:pPr>
              <w:keepNext w:val="0"/>
              <w:keepLines w:val="0"/>
              <w:pageBreakBefore w:val="0"/>
              <w:kinsoku/>
              <w:wordWrap/>
              <w:topLinePunct w:val="0"/>
              <w:autoSpaceDE w:val="0"/>
              <w:autoSpaceDN w:val="0"/>
              <w:bidi w:val="0"/>
              <w:adjustRightInd w:val="0"/>
              <w:spacing w:line="560" w:lineRule="exact"/>
              <w:jc w:val="center"/>
              <w:rPr>
                <w:rFonts w:hint="eastAsia" w:ascii="宋体" w:hAnsi="宋体"/>
                <w:kern w:val="0"/>
                <w:sz w:val="24"/>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7303D034">
            <w:pPr>
              <w:keepNext w:val="0"/>
              <w:keepLines w:val="0"/>
              <w:pageBreakBefore w:val="0"/>
              <w:kinsoku/>
              <w:wordWrap/>
              <w:topLinePunct w:val="0"/>
              <w:autoSpaceDE w:val="0"/>
              <w:autoSpaceDN w:val="0"/>
              <w:bidi w:val="0"/>
              <w:adjustRightInd w:val="0"/>
              <w:spacing w:line="560" w:lineRule="exact"/>
              <w:jc w:val="center"/>
              <w:rPr>
                <w:rFonts w:ascii="宋体" w:hAnsi="宋体"/>
                <w:kern w:val="0"/>
                <w:sz w:val="24"/>
              </w:rPr>
            </w:pPr>
            <w:r>
              <w:rPr>
                <w:rFonts w:ascii="宋体" w:hAnsi="宋体"/>
                <w:kern w:val="0"/>
                <w:sz w:val="24"/>
                <w:lang w:eastAsia="zh-TW"/>
              </w:rPr>
              <w:t>电话</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2848BA1F">
            <w:pPr>
              <w:keepNext w:val="0"/>
              <w:keepLines w:val="0"/>
              <w:pageBreakBefore w:val="0"/>
              <w:kinsoku/>
              <w:wordWrap/>
              <w:topLinePunct w:val="0"/>
              <w:autoSpaceDE w:val="0"/>
              <w:autoSpaceDN w:val="0"/>
              <w:bidi w:val="0"/>
              <w:adjustRightInd w:val="0"/>
              <w:spacing w:line="560" w:lineRule="exact"/>
              <w:jc w:val="center"/>
              <w:rPr>
                <w:rFonts w:hint="eastAsia" w:ascii="宋体" w:hAnsi="宋体"/>
                <w:kern w:val="0"/>
                <w:sz w:val="24"/>
              </w:rPr>
            </w:pPr>
            <w:r>
              <w:rPr>
                <w:rFonts w:hint="eastAsia" w:ascii="宋体" w:hAnsi="宋体"/>
                <w:kern w:val="0"/>
                <w:sz w:val="24"/>
              </w:rPr>
              <w:t xml:space="preserve"> </w:t>
            </w:r>
          </w:p>
        </w:tc>
      </w:tr>
      <w:tr w14:paraId="4607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2890" w:type="dxa"/>
            <w:gridSpan w:val="2"/>
            <w:tcBorders>
              <w:top w:val="single" w:color="auto" w:sz="4" w:space="0"/>
              <w:left w:val="single" w:color="auto" w:sz="4" w:space="0"/>
              <w:bottom w:val="single" w:color="auto" w:sz="4" w:space="0"/>
              <w:right w:val="single" w:color="auto" w:sz="4" w:space="0"/>
            </w:tcBorders>
            <w:noWrap w:val="0"/>
            <w:vAlign w:val="center"/>
          </w:tcPr>
          <w:p w14:paraId="6F3D63CD">
            <w:pPr>
              <w:keepNext w:val="0"/>
              <w:keepLines w:val="0"/>
              <w:pageBreakBefore w:val="0"/>
              <w:kinsoku/>
              <w:wordWrap/>
              <w:topLinePunct w:val="0"/>
              <w:autoSpaceDE w:val="0"/>
              <w:autoSpaceDN w:val="0"/>
              <w:bidi w:val="0"/>
              <w:adjustRightInd w:val="0"/>
              <w:spacing w:line="560" w:lineRule="exact"/>
              <w:ind w:left="60" w:leftChars="19" w:right="24" w:firstLine="1"/>
              <w:jc w:val="center"/>
              <w:rPr>
                <w:rFonts w:ascii="宋体" w:hAnsi="宋体"/>
                <w:kern w:val="0"/>
                <w:sz w:val="24"/>
              </w:rPr>
            </w:pPr>
            <w:r>
              <w:rPr>
                <w:rFonts w:hint="eastAsia" w:ascii="宋体" w:hAnsi="宋体"/>
                <w:kern w:val="0"/>
                <w:sz w:val="24"/>
              </w:rPr>
              <w:t>申请</w:t>
            </w:r>
            <w:r>
              <w:rPr>
                <w:rFonts w:ascii="宋体" w:hAnsi="宋体"/>
                <w:kern w:val="0"/>
                <w:sz w:val="24"/>
                <w:lang w:eastAsia="zh-TW"/>
              </w:rPr>
              <w:t>挖掘</w:t>
            </w:r>
            <w:r>
              <w:rPr>
                <w:rFonts w:hint="eastAsia" w:ascii="宋体" w:hAnsi="宋体"/>
                <w:kern w:val="0"/>
                <w:sz w:val="24"/>
              </w:rPr>
              <w:t>道路</w:t>
            </w:r>
            <w:r>
              <w:rPr>
                <w:rFonts w:ascii="宋体" w:hAnsi="宋体"/>
                <w:kern w:val="0"/>
                <w:sz w:val="24"/>
                <w:lang w:eastAsia="zh-TW"/>
              </w:rPr>
              <w:t>地点</w:t>
            </w:r>
          </w:p>
        </w:tc>
        <w:tc>
          <w:tcPr>
            <w:tcW w:w="6830" w:type="dxa"/>
            <w:gridSpan w:val="4"/>
            <w:tcBorders>
              <w:top w:val="single" w:color="auto" w:sz="4" w:space="0"/>
              <w:left w:val="single" w:color="auto" w:sz="4" w:space="0"/>
              <w:bottom w:val="single" w:color="auto" w:sz="4" w:space="0"/>
              <w:right w:val="single" w:color="auto" w:sz="4" w:space="0"/>
            </w:tcBorders>
            <w:noWrap w:val="0"/>
            <w:vAlign w:val="center"/>
          </w:tcPr>
          <w:p w14:paraId="211EDE4A">
            <w:pPr>
              <w:keepNext w:val="0"/>
              <w:keepLines w:val="0"/>
              <w:pageBreakBefore w:val="0"/>
              <w:kinsoku/>
              <w:wordWrap/>
              <w:topLinePunct w:val="0"/>
              <w:autoSpaceDE w:val="0"/>
              <w:autoSpaceDN w:val="0"/>
              <w:bidi w:val="0"/>
              <w:adjustRightInd w:val="0"/>
              <w:spacing w:line="560" w:lineRule="exact"/>
              <w:ind w:firstLine="236" w:firstLineChars="100"/>
              <w:jc w:val="left"/>
              <w:rPr>
                <w:rFonts w:hint="eastAsia" w:ascii="宋体" w:hAnsi="宋体"/>
                <w:kern w:val="0"/>
                <w:sz w:val="24"/>
              </w:rPr>
            </w:pPr>
          </w:p>
        </w:tc>
      </w:tr>
      <w:tr w14:paraId="7844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2890" w:type="dxa"/>
            <w:gridSpan w:val="2"/>
            <w:tcBorders>
              <w:top w:val="single" w:color="auto" w:sz="4" w:space="0"/>
              <w:left w:val="single" w:color="auto" w:sz="4" w:space="0"/>
              <w:bottom w:val="single" w:color="auto" w:sz="4" w:space="0"/>
              <w:right w:val="single" w:color="auto" w:sz="4" w:space="0"/>
            </w:tcBorders>
            <w:noWrap w:val="0"/>
            <w:vAlign w:val="center"/>
          </w:tcPr>
          <w:p w14:paraId="3250926C">
            <w:pPr>
              <w:keepNext w:val="0"/>
              <w:keepLines w:val="0"/>
              <w:pageBreakBefore w:val="0"/>
              <w:kinsoku/>
              <w:wordWrap/>
              <w:topLinePunct w:val="0"/>
              <w:autoSpaceDE w:val="0"/>
              <w:autoSpaceDN w:val="0"/>
              <w:bidi w:val="0"/>
              <w:adjustRightInd w:val="0"/>
              <w:spacing w:line="560" w:lineRule="exact"/>
              <w:ind w:left="60" w:leftChars="19" w:right="24" w:firstLine="1"/>
              <w:jc w:val="center"/>
              <w:rPr>
                <w:rFonts w:ascii="宋体" w:hAnsi="宋体"/>
                <w:kern w:val="0"/>
                <w:sz w:val="24"/>
              </w:rPr>
            </w:pPr>
            <w:r>
              <w:rPr>
                <w:rFonts w:hint="eastAsia" w:ascii="宋体" w:hAnsi="宋体"/>
                <w:kern w:val="0"/>
                <w:sz w:val="24"/>
              </w:rPr>
              <w:t>申请挖掘道路种类及面积</w:t>
            </w:r>
          </w:p>
        </w:tc>
        <w:tc>
          <w:tcPr>
            <w:tcW w:w="6830" w:type="dxa"/>
            <w:gridSpan w:val="4"/>
            <w:tcBorders>
              <w:top w:val="single" w:color="auto" w:sz="4" w:space="0"/>
              <w:left w:val="single" w:color="auto" w:sz="4" w:space="0"/>
              <w:bottom w:val="single" w:color="auto" w:sz="4" w:space="0"/>
              <w:right w:val="single" w:color="auto" w:sz="4" w:space="0"/>
            </w:tcBorders>
            <w:noWrap w:val="0"/>
            <w:vAlign w:val="center"/>
          </w:tcPr>
          <w:p w14:paraId="6426392F">
            <w:pPr>
              <w:keepNext w:val="0"/>
              <w:keepLines w:val="0"/>
              <w:pageBreakBefore w:val="0"/>
              <w:kinsoku/>
              <w:wordWrap/>
              <w:topLinePunct w:val="0"/>
              <w:autoSpaceDE w:val="0"/>
              <w:autoSpaceDN w:val="0"/>
              <w:bidi w:val="0"/>
              <w:adjustRightInd w:val="0"/>
              <w:spacing w:line="560" w:lineRule="exact"/>
              <w:rPr>
                <w:rFonts w:ascii="宋体" w:hAnsi="宋体"/>
                <w:kern w:val="0"/>
                <w:sz w:val="24"/>
              </w:rPr>
            </w:pPr>
            <w:r>
              <w:rPr>
                <w:rFonts w:hint="eastAsia" w:ascii="宋体" w:hAnsi="宋体"/>
                <w:kern w:val="0"/>
                <w:szCs w:val="21"/>
              </w:rPr>
              <w:t xml:space="preserve">  </w:t>
            </w:r>
          </w:p>
        </w:tc>
      </w:tr>
      <w:tr w14:paraId="0D32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2890" w:type="dxa"/>
            <w:gridSpan w:val="2"/>
            <w:tcBorders>
              <w:top w:val="single" w:color="auto" w:sz="4" w:space="0"/>
              <w:left w:val="single" w:color="auto" w:sz="4" w:space="0"/>
              <w:bottom w:val="single" w:color="auto" w:sz="4" w:space="0"/>
              <w:right w:val="single" w:color="auto" w:sz="4" w:space="0"/>
            </w:tcBorders>
            <w:noWrap w:val="0"/>
            <w:vAlign w:val="center"/>
          </w:tcPr>
          <w:p w14:paraId="0054D41E">
            <w:pPr>
              <w:keepNext w:val="0"/>
              <w:keepLines w:val="0"/>
              <w:pageBreakBefore w:val="0"/>
              <w:kinsoku/>
              <w:wordWrap/>
              <w:topLinePunct w:val="0"/>
              <w:autoSpaceDE w:val="0"/>
              <w:autoSpaceDN w:val="0"/>
              <w:bidi w:val="0"/>
              <w:adjustRightInd w:val="0"/>
              <w:spacing w:line="560" w:lineRule="exact"/>
              <w:ind w:left="60" w:leftChars="19" w:right="24" w:firstLine="1"/>
              <w:jc w:val="center"/>
              <w:rPr>
                <w:rFonts w:ascii="宋体" w:hAnsi="宋体"/>
                <w:kern w:val="0"/>
                <w:sz w:val="24"/>
              </w:rPr>
            </w:pPr>
            <w:r>
              <w:rPr>
                <w:rFonts w:hint="eastAsia" w:ascii="宋体" w:hAnsi="宋体"/>
                <w:kern w:val="0"/>
                <w:sz w:val="24"/>
              </w:rPr>
              <w:t>城市道路占用费</w:t>
            </w:r>
          </w:p>
        </w:tc>
        <w:tc>
          <w:tcPr>
            <w:tcW w:w="6830" w:type="dxa"/>
            <w:gridSpan w:val="4"/>
            <w:tcBorders>
              <w:top w:val="single" w:color="auto" w:sz="4" w:space="0"/>
              <w:left w:val="single" w:color="auto" w:sz="4" w:space="0"/>
              <w:bottom w:val="single" w:color="auto" w:sz="4" w:space="0"/>
              <w:right w:val="single" w:color="auto" w:sz="4" w:space="0"/>
            </w:tcBorders>
            <w:noWrap w:val="0"/>
            <w:vAlign w:val="center"/>
          </w:tcPr>
          <w:p w14:paraId="23E5B56E">
            <w:pPr>
              <w:keepNext w:val="0"/>
              <w:keepLines w:val="0"/>
              <w:pageBreakBefore w:val="0"/>
              <w:kinsoku/>
              <w:wordWrap/>
              <w:topLinePunct w:val="0"/>
              <w:autoSpaceDE w:val="0"/>
              <w:autoSpaceDN w:val="0"/>
              <w:bidi w:val="0"/>
              <w:adjustRightInd w:val="0"/>
              <w:spacing w:line="560" w:lineRule="exact"/>
              <w:ind w:firstLine="236" w:firstLineChars="100"/>
              <w:jc w:val="left"/>
              <w:rPr>
                <w:rFonts w:hint="eastAsia" w:ascii="宋体" w:hAnsi="宋体"/>
                <w:kern w:val="0"/>
                <w:sz w:val="24"/>
              </w:rPr>
            </w:pPr>
          </w:p>
        </w:tc>
      </w:tr>
      <w:tr w14:paraId="7876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2890" w:type="dxa"/>
            <w:gridSpan w:val="2"/>
            <w:tcBorders>
              <w:top w:val="single" w:color="auto" w:sz="4" w:space="0"/>
              <w:left w:val="single" w:color="auto" w:sz="4" w:space="0"/>
              <w:bottom w:val="single" w:color="auto" w:sz="4" w:space="0"/>
              <w:right w:val="single" w:color="auto" w:sz="4" w:space="0"/>
            </w:tcBorders>
            <w:noWrap w:val="0"/>
            <w:vAlign w:val="center"/>
          </w:tcPr>
          <w:p w14:paraId="1B92C446">
            <w:pPr>
              <w:keepNext w:val="0"/>
              <w:keepLines w:val="0"/>
              <w:pageBreakBefore w:val="0"/>
              <w:kinsoku/>
              <w:wordWrap/>
              <w:topLinePunct w:val="0"/>
              <w:autoSpaceDE w:val="0"/>
              <w:autoSpaceDN w:val="0"/>
              <w:bidi w:val="0"/>
              <w:adjustRightInd w:val="0"/>
              <w:spacing w:line="560" w:lineRule="exact"/>
              <w:ind w:left="60" w:leftChars="19" w:right="24" w:firstLine="1"/>
              <w:jc w:val="center"/>
              <w:rPr>
                <w:rFonts w:hint="eastAsia" w:ascii="宋体" w:hAnsi="宋体"/>
                <w:kern w:val="0"/>
                <w:sz w:val="24"/>
              </w:rPr>
            </w:pPr>
            <w:r>
              <w:rPr>
                <w:rFonts w:hint="eastAsia" w:ascii="宋体" w:hAnsi="宋体"/>
                <w:kern w:val="0"/>
                <w:sz w:val="24"/>
              </w:rPr>
              <w:t>申请挖掘道路用途</w:t>
            </w:r>
          </w:p>
        </w:tc>
        <w:tc>
          <w:tcPr>
            <w:tcW w:w="6830" w:type="dxa"/>
            <w:gridSpan w:val="4"/>
            <w:tcBorders>
              <w:top w:val="single" w:color="auto" w:sz="4" w:space="0"/>
              <w:left w:val="single" w:color="auto" w:sz="4" w:space="0"/>
              <w:bottom w:val="single" w:color="auto" w:sz="4" w:space="0"/>
              <w:right w:val="single" w:color="auto" w:sz="4" w:space="0"/>
            </w:tcBorders>
            <w:noWrap w:val="0"/>
            <w:vAlign w:val="center"/>
          </w:tcPr>
          <w:p w14:paraId="1A2B3826">
            <w:pPr>
              <w:keepNext w:val="0"/>
              <w:keepLines w:val="0"/>
              <w:pageBreakBefore w:val="0"/>
              <w:kinsoku/>
              <w:wordWrap/>
              <w:topLinePunct w:val="0"/>
              <w:autoSpaceDE w:val="0"/>
              <w:autoSpaceDN w:val="0"/>
              <w:bidi w:val="0"/>
              <w:adjustRightInd w:val="0"/>
              <w:spacing w:line="560" w:lineRule="exact"/>
              <w:ind w:firstLine="236" w:firstLineChars="100"/>
              <w:jc w:val="left"/>
              <w:rPr>
                <w:rFonts w:hint="eastAsia" w:ascii="宋体" w:hAnsi="宋体"/>
                <w:kern w:val="0"/>
                <w:sz w:val="24"/>
              </w:rPr>
            </w:pPr>
          </w:p>
        </w:tc>
      </w:tr>
      <w:tr w14:paraId="5455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2890" w:type="dxa"/>
            <w:gridSpan w:val="2"/>
            <w:tcBorders>
              <w:top w:val="single" w:color="auto" w:sz="4" w:space="0"/>
              <w:left w:val="single" w:color="auto" w:sz="4" w:space="0"/>
              <w:bottom w:val="single" w:color="auto" w:sz="4" w:space="0"/>
              <w:right w:val="single" w:color="auto" w:sz="4" w:space="0"/>
            </w:tcBorders>
            <w:noWrap w:val="0"/>
            <w:vAlign w:val="center"/>
          </w:tcPr>
          <w:p w14:paraId="0CE54440">
            <w:pPr>
              <w:keepNext w:val="0"/>
              <w:keepLines w:val="0"/>
              <w:pageBreakBefore w:val="0"/>
              <w:kinsoku/>
              <w:wordWrap/>
              <w:topLinePunct w:val="0"/>
              <w:autoSpaceDE w:val="0"/>
              <w:autoSpaceDN w:val="0"/>
              <w:bidi w:val="0"/>
              <w:adjustRightInd w:val="0"/>
              <w:spacing w:line="560" w:lineRule="exact"/>
              <w:ind w:left="60" w:leftChars="19" w:right="24" w:firstLine="1"/>
              <w:jc w:val="center"/>
              <w:rPr>
                <w:rFonts w:hint="eastAsia" w:ascii="宋体" w:hAnsi="宋体"/>
                <w:kern w:val="0"/>
                <w:sz w:val="24"/>
              </w:rPr>
            </w:pPr>
            <w:r>
              <w:rPr>
                <w:rFonts w:hint="eastAsia" w:ascii="宋体" w:hAnsi="宋体"/>
                <w:kern w:val="0"/>
                <w:sz w:val="24"/>
              </w:rPr>
              <w:t xml:space="preserve">申请挖掘道路时间  </w:t>
            </w:r>
          </w:p>
        </w:tc>
        <w:tc>
          <w:tcPr>
            <w:tcW w:w="6830" w:type="dxa"/>
            <w:gridSpan w:val="4"/>
            <w:tcBorders>
              <w:top w:val="single" w:color="auto" w:sz="4" w:space="0"/>
              <w:left w:val="single" w:color="auto" w:sz="4" w:space="0"/>
              <w:bottom w:val="single" w:color="auto" w:sz="4" w:space="0"/>
              <w:right w:val="single" w:color="auto" w:sz="4" w:space="0"/>
            </w:tcBorders>
            <w:noWrap w:val="0"/>
            <w:vAlign w:val="center"/>
          </w:tcPr>
          <w:p w14:paraId="17AEBB17">
            <w:pPr>
              <w:keepNext w:val="0"/>
              <w:keepLines w:val="0"/>
              <w:pageBreakBefore w:val="0"/>
              <w:widowControl/>
              <w:kinsoku/>
              <w:wordWrap/>
              <w:topLinePunct w:val="0"/>
              <w:bidi w:val="0"/>
              <w:spacing w:line="560" w:lineRule="exact"/>
              <w:ind w:right="480"/>
              <w:jc w:val="center"/>
              <w:rPr>
                <w:rFonts w:hint="eastAsia" w:ascii="宋体" w:hAnsi="宋体"/>
                <w:kern w:val="0"/>
                <w:szCs w:val="21"/>
              </w:rPr>
            </w:pPr>
          </w:p>
        </w:tc>
      </w:tr>
      <w:tr w14:paraId="56F8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84" w:hRule="exact"/>
          <w:jc w:val="center"/>
        </w:trPr>
        <w:tc>
          <w:tcPr>
            <w:tcW w:w="2890" w:type="dxa"/>
            <w:gridSpan w:val="2"/>
            <w:tcBorders>
              <w:top w:val="single" w:color="auto" w:sz="4" w:space="0"/>
              <w:left w:val="single" w:color="auto" w:sz="4" w:space="0"/>
              <w:bottom w:val="single" w:color="auto" w:sz="4" w:space="0"/>
              <w:right w:val="single" w:color="auto" w:sz="4" w:space="0"/>
            </w:tcBorders>
            <w:noWrap w:val="0"/>
            <w:vAlign w:val="center"/>
          </w:tcPr>
          <w:p w14:paraId="068FDE95">
            <w:pPr>
              <w:keepNext w:val="0"/>
              <w:keepLines w:val="0"/>
              <w:pageBreakBefore w:val="0"/>
              <w:kinsoku/>
              <w:wordWrap/>
              <w:topLinePunct w:val="0"/>
              <w:autoSpaceDE w:val="0"/>
              <w:autoSpaceDN w:val="0"/>
              <w:bidi w:val="0"/>
              <w:adjustRightInd w:val="0"/>
              <w:spacing w:line="560" w:lineRule="exact"/>
              <w:ind w:left="60" w:leftChars="19" w:right="24" w:firstLine="1"/>
              <w:jc w:val="center"/>
              <w:rPr>
                <w:rFonts w:ascii="宋体" w:hAnsi="宋体"/>
                <w:kern w:val="0"/>
                <w:sz w:val="24"/>
              </w:rPr>
            </w:pPr>
            <w:r>
              <w:rPr>
                <w:rFonts w:hint="eastAsia" w:ascii="宋体" w:hAnsi="宋体"/>
                <w:kern w:val="0"/>
                <w:sz w:val="24"/>
              </w:rPr>
              <w:t>审核意见</w:t>
            </w:r>
          </w:p>
        </w:tc>
        <w:tc>
          <w:tcPr>
            <w:tcW w:w="3415" w:type="dxa"/>
            <w:tcBorders>
              <w:top w:val="single" w:color="auto" w:sz="4" w:space="0"/>
              <w:left w:val="single" w:color="auto" w:sz="4" w:space="0"/>
              <w:bottom w:val="single" w:color="auto" w:sz="4" w:space="0"/>
              <w:right w:val="single" w:color="auto" w:sz="4" w:space="0"/>
            </w:tcBorders>
            <w:noWrap w:val="0"/>
            <w:vAlign w:val="top"/>
          </w:tcPr>
          <w:p w14:paraId="6BE2AD16">
            <w:pPr>
              <w:keepNext w:val="0"/>
              <w:keepLines w:val="0"/>
              <w:pageBreakBefore w:val="0"/>
              <w:kinsoku/>
              <w:wordWrap/>
              <w:topLinePunct w:val="0"/>
              <w:autoSpaceDE w:val="0"/>
              <w:autoSpaceDN w:val="0"/>
              <w:bidi w:val="0"/>
              <w:adjustRightInd w:val="0"/>
              <w:spacing w:line="5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p>
          <w:p w14:paraId="5E33CFBC">
            <w:pPr>
              <w:keepNext w:val="0"/>
              <w:keepLines w:val="0"/>
              <w:pageBreakBefore w:val="0"/>
              <w:kinsoku/>
              <w:wordWrap/>
              <w:topLinePunct w:val="0"/>
              <w:autoSpaceDE w:val="0"/>
              <w:autoSpaceDN w:val="0"/>
              <w:bidi w:val="0"/>
              <w:adjustRightInd w:val="0"/>
              <w:spacing w:line="560" w:lineRule="exact"/>
              <w:ind w:left="60" w:leftChars="19" w:right="24" w:firstLine="1"/>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城管局意见：</w:t>
            </w:r>
          </w:p>
          <w:p w14:paraId="0EB1BACF">
            <w:pPr>
              <w:keepNext w:val="0"/>
              <w:keepLines w:val="0"/>
              <w:pageBreakBefore w:val="0"/>
              <w:kinsoku/>
              <w:wordWrap/>
              <w:topLinePunct w:val="0"/>
              <w:autoSpaceDE w:val="0"/>
              <w:autoSpaceDN w:val="0"/>
              <w:bidi w:val="0"/>
              <w:adjustRightInd w:val="0"/>
              <w:spacing w:line="560" w:lineRule="exact"/>
              <w:rPr>
                <w:rFonts w:hint="eastAsia" w:ascii="仿宋_GB2312" w:hAnsi="仿宋_GB2312" w:eastAsia="仿宋_GB2312" w:cs="仿宋_GB2312"/>
                <w:kern w:val="0"/>
                <w:sz w:val="24"/>
                <w:szCs w:val="24"/>
              </w:rPr>
            </w:pPr>
          </w:p>
          <w:p w14:paraId="7A552915">
            <w:pPr>
              <w:keepNext w:val="0"/>
              <w:keepLines w:val="0"/>
              <w:pageBreakBefore w:val="0"/>
              <w:kinsoku/>
              <w:wordWrap/>
              <w:topLinePunct w:val="0"/>
              <w:autoSpaceDE w:val="0"/>
              <w:autoSpaceDN w:val="0"/>
              <w:bidi w:val="0"/>
              <w:adjustRightInd w:val="0"/>
              <w:spacing w:line="560" w:lineRule="exact"/>
              <w:rPr>
                <w:rFonts w:hint="eastAsia" w:ascii="仿宋_GB2312" w:hAnsi="仿宋_GB2312" w:eastAsia="仿宋_GB2312" w:cs="仿宋_GB2312"/>
                <w:kern w:val="0"/>
                <w:sz w:val="24"/>
                <w:szCs w:val="24"/>
              </w:rPr>
            </w:pPr>
          </w:p>
          <w:p w14:paraId="1E374745">
            <w:pPr>
              <w:keepNext w:val="0"/>
              <w:keepLines w:val="0"/>
              <w:pageBreakBefore w:val="0"/>
              <w:kinsoku/>
              <w:wordWrap/>
              <w:topLinePunct w:val="0"/>
              <w:autoSpaceDE w:val="0"/>
              <w:autoSpaceDN w:val="0"/>
              <w:bidi w:val="0"/>
              <w:adjustRightInd w:val="0"/>
              <w:spacing w:line="560" w:lineRule="exact"/>
              <w:rPr>
                <w:rFonts w:hint="eastAsia" w:ascii="仿宋_GB2312" w:hAnsi="仿宋_GB2312" w:eastAsia="仿宋_GB2312" w:cs="仿宋_GB2312"/>
                <w:kern w:val="0"/>
                <w:sz w:val="24"/>
                <w:szCs w:val="24"/>
              </w:rPr>
            </w:pPr>
          </w:p>
          <w:p w14:paraId="0AFD33D6">
            <w:pPr>
              <w:keepNext w:val="0"/>
              <w:keepLines w:val="0"/>
              <w:pageBreakBefore w:val="0"/>
              <w:kinsoku/>
              <w:wordWrap/>
              <w:topLinePunct w:val="0"/>
              <w:autoSpaceDE w:val="0"/>
              <w:autoSpaceDN w:val="0"/>
              <w:bidi w:val="0"/>
              <w:adjustRightInd w:val="0"/>
              <w:spacing w:line="560" w:lineRule="exact"/>
              <w:rPr>
                <w:rFonts w:hint="eastAsia" w:ascii="仿宋_GB2312" w:hAnsi="仿宋_GB2312" w:eastAsia="仿宋_GB2312" w:cs="仿宋_GB2312"/>
                <w:kern w:val="0"/>
                <w:sz w:val="24"/>
                <w:szCs w:val="24"/>
              </w:rPr>
            </w:pPr>
          </w:p>
          <w:p w14:paraId="4B8007BA">
            <w:pPr>
              <w:keepNext w:val="0"/>
              <w:keepLines w:val="0"/>
              <w:pageBreakBefore w:val="0"/>
              <w:kinsoku/>
              <w:wordWrap/>
              <w:topLinePunct w:val="0"/>
              <w:autoSpaceDE w:val="0"/>
              <w:autoSpaceDN w:val="0"/>
              <w:bidi w:val="0"/>
              <w:adjustRightInd w:val="0"/>
              <w:spacing w:line="560" w:lineRule="exact"/>
              <w:rPr>
                <w:rFonts w:hint="eastAsia" w:ascii="仿宋_GB2312" w:hAnsi="仿宋_GB2312" w:eastAsia="仿宋_GB2312" w:cs="仿宋_GB2312"/>
                <w:kern w:val="0"/>
                <w:sz w:val="24"/>
                <w:szCs w:val="24"/>
              </w:rPr>
            </w:pPr>
          </w:p>
        </w:tc>
        <w:tc>
          <w:tcPr>
            <w:tcW w:w="3415" w:type="dxa"/>
            <w:gridSpan w:val="3"/>
            <w:tcBorders>
              <w:top w:val="single" w:color="auto" w:sz="4" w:space="0"/>
              <w:left w:val="single" w:color="auto" w:sz="4" w:space="0"/>
              <w:bottom w:val="single" w:color="auto" w:sz="4" w:space="0"/>
              <w:right w:val="single" w:color="auto" w:sz="4" w:space="0"/>
            </w:tcBorders>
            <w:noWrap w:val="0"/>
            <w:vAlign w:val="top"/>
          </w:tcPr>
          <w:p w14:paraId="1281C596">
            <w:pPr>
              <w:keepNext w:val="0"/>
              <w:keepLines w:val="0"/>
              <w:pageBreakBefore w:val="0"/>
              <w:kinsoku/>
              <w:wordWrap/>
              <w:topLinePunct w:val="0"/>
              <w:autoSpaceDE w:val="0"/>
              <w:autoSpaceDN w:val="0"/>
              <w:bidi w:val="0"/>
              <w:adjustRightInd w:val="0"/>
              <w:spacing w:line="560" w:lineRule="exact"/>
              <w:ind w:left="60" w:leftChars="19" w:right="24" w:firstLine="1"/>
              <w:jc w:val="left"/>
              <w:rPr>
                <w:rFonts w:hint="eastAsia" w:ascii="仿宋_GB2312" w:hAnsi="仿宋_GB2312" w:eastAsia="仿宋_GB2312" w:cs="仿宋_GB2312"/>
                <w:kern w:val="0"/>
                <w:sz w:val="24"/>
                <w:szCs w:val="24"/>
                <w:lang w:val="en-US" w:eastAsia="zh-CN"/>
              </w:rPr>
            </w:pPr>
          </w:p>
          <w:p w14:paraId="28223071">
            <w:pPr>
              <w:keepNext w:val="0"/>
              <w:keepLines w:val="0"/>
              <w:pageBreakBefore w:val="0"/>
              <w:kinsoku/>
              <w:wordWrap/>
              <w:topLinePunct w:val="0"/>
              <w:autoSpaceDE w:val="0"/>
              <w:autoSpaceDN w:val="0"/>
              <w:bidi w:val="0"/>
              <w:adjustRightInd w:val="0"/>
              <w:spacing w:line="560" w:lineRule="exact"/>
              <w:ind w:left="60" w:leftChars="19" w:right="24" w:firstLine="1"/>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住建局意见：</w:t>
            </w:r>
          </w:p>
        </w:tc>
      </w:tr>
      <w:tr w14:paraId="5D08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1" w:hRule="atLeast"/>
          <w:jc w:val="center"/>
        </w:trPr>
        <w:tc>
          <w:tcPr>
            <w:tcW w:w="9720" w:type="dxa"/>
            <w:gridSpan w:val="6"/>
            <w:tcBorders>
              <w:top w:val="single" w:color="auto" w:sz="4" w:space="0"/>
              <w:left w:val="single" w:color="auto" w:sz="4" w:space="0"/>
              <w:bottom w:val="single" w:color="auto" w:sz="4" w:space="0"/>
              <w:right w:val="single" w:color="auto" w:sz="4" w:space="0"/>
            </w:tcBorders>
            <w:noWrap w:val="0"/>
            <w:vAlign w:val="center"/>
          </w:tcPr>
          <w:p w14:paraId="037694EB">
            <w:pPr>
              <w:keepNext w:val="0"/>
              <w:keepLines w:val="0"/>
              <w:pageBreakBefore w:val="0"/>
              <w:kinsoku/>
              <w:wordWrap/>
              <w:topLinePunct w:val="0"/>
              <w:autoSpaceDE w:val="0"/>
              <w:autoSpaceDN w:val="0"/>
              <w:bidi w:val="0"/>
              <w:adjustRightInd w:val="0"/>
              <w:spacing w:line="560" w:lineRule="exact"/>
              <w:ind w:right="24" w:firstLine="236" w:firstLineChars="100"/>
              <w:rPr>
                <w:rFonts w:hint="eastAsia" w:ascii="宋体" w:hAnsi="宋体"/>
                <w:kern w:val="0"/>
                <w:sz w:val="24"/>
              </w:rPr>
            </w:pPr>
            <w:r>
              <w:rPr>
                <w:rFonts w:ascii="宋体" w:hAnsi="宋体"/>
                <w:kern w:val="0"/>
                <w:sz w:val="24"/>
              </w:rPr>
              <w:t>附件</w:t>
            </w:r>
            <w:r>
              <w:rPr>
                <w:rFonts w:hint="eastAsia" w:ascii="宋体" w:hAnsi="宋体"/>
                <w:kern w:val="0"/>
                <w:sz w:val="24"/>
              </w:rPr>
              <w:t>：挖掘平面示意图</w:t>
            </w:r>
          </w:p>
        </w:tc>
      </w:tr>
    </w:tbl>
    <w:p w14:paraId="3EBF99C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附件3</w:t>
      </w:r>
    </w:p>
    <w:p w14:paraId="0678AD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lang w:val="en-US" w:eastAsia="zh-CN"/>
        </w:rPr>
      </w:pPr>
      <w:r>
        <w:rPr>
          <w:rFonts w:hint="eastAsia" w:ascii="方正小标宋简体" w:hAnsi="方正小标宋简体" w:eastAsia="方正小标宋简体" w:cs="方正小标宋简体"/>
          <w:b w:val="0"/>
          <w:bCs/>
          <w:spacing w:val="20"/>
          <w:kern w:val="0"/>
          <w:sz w:val="44"/>
          <w:szCs w:val="44"/>
        </w:rPr>
        <w:t>道路挖掘修复质量验收表（样表）</w:t>
      </w:r>
    </w:p>
    <w:tbl>
      <w:tblPr>
        <w:tblStyle w:val="16"/>
        <w:tblW w:w="8858"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737"/>
        <w:gridCol w:w="2246"/>
        <w:gridCol w:w="1710"/>
        <w:gridCol w:w="3165"/>
      </w:tblGrid>
      <w:tr w14:paraId="36CEB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exact"/>
        </w:trPr>
        <w:tc>
          <w:tcPr>
            <w:tcW w:w="1737" w:type="dxa"/>
            <w:tcBorders>
              <w:tl2br w:val="nil"/>
              <w:tr2bl w:val="nil"/>
            </w:tcBorders>
            <w:shd w:val="clear" w:color="auto" w:fill="auto"/>
            <w:noWrap/>
            <w:vAlign w:val="center"/>
          </w:tcPr>
          <w:p w14:paraId="7895583F">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申请单位</w:t>
            </w:r>
          </w:p>
        </w:tc>
        <w:tc>
          <w:tcPr>
            <w:tcW w:w="7121" w:type="dxa"/>
            <w:gridSpan w:val="3"/>
            <w:tcBorders>
              <w:tl2br w:val="nil"/>
              <w:tr2bl w:val="nil"/>
            </w:tcBorders>
            <w:shd w:val="clear" w:color="auto" w:fill="auto"/>
            <w:noWrap/>
            <w:vAlign w:val="center"/>
          </w:tcPr>
          <w:p w14:paraId="780B0039">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67EC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exact"/>
        </w:trPr>
        <w:tc>
          <w:tcPr>
            <w:tcW w:w="1737" w:type="dxa"/>
            <w:tcBorders>
              <w:tl2br w:val="nil"/>
              <w:tr2bl w:val="nil"/>
            </w:tcBorders>
            <w:shd w:val="clear" w:color="auto" w:fill="auto"/>
            <w:noWrap/>
            <w:vAlign w:val="center"/>
          </w:tcPr>
          <w:p w14:paraId="79FFBDD9">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项目名称</w:t>
            </w:r>
          </w:p>
        </w:tc>
        <w:tc>
          <w:tcPr>
            <w:tcW w:w="7121" w:type="dxa"/>
            <w:gridSpan w:val="3"/>
            <w:tcBorders>
              <w:tl2br w:val="nil"/>
              <w:tr2bl w:val="nil"/>
            </w:tcBorders>
            <w:shd w:val="clear" w:color="auto" w:fill="auto"/>
            <w:noWrap/>
            <w:vAlign w:val="center"/>
          </w:tcPr>
          <w:p w14:paraId="35CAE2C5">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57116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1737" w:type="dxa"/>
            <w:tcBorders>
              <w:tl2br w:val="nil"/>
              <w:tr2bl w:val="nil"/>
            </w:tcBorders>
            <w:shd w:val="clear" w:color="auto" w:fill="auto"/>
            <w:noWrap/>
            <w:vAlign w:val="center"/>
          </w:tcPr>
          <w:p w14:paraId="14CFD45F">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施工单位</w:t>
            </w:r>
          </w:p>
        </w:tc>
        <w:tc>
          <w:tcPr>
            <w:tcW w:w="7121" w:type="dxa"/>
            <w:gridSpan w:val="3"/>
            <w:tcBorders>
              <w:tl2br w:val="nil"/>
              <w:tr2bl w:val="nil"/>
            </w:tcBorders>
            <w:shd w:val="clear" w:color="auto" w:fill="auto"/>
            <w:noWrap/>
            <w:vAlign w:val="center"/>
          </w:tcPr>
          <w:p w14:paraId="6C767A73">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2FBE2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1737" w:type="dxa"/>
            <w:tcBorders>
              <w:tl2br w:val="nil"/>
              <w:tr2bl w:val="nil"/>
            </w:tcBorders>
            <w:shd w:val="clear" w:color="auto" w:fill="auto"/>
            <w:noWrap/>
            <w:vAlign w:val="center"/>
          </w:tcPr>
          <w:p w14:paraId="027A03AC">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施工起止日期</w:t>
            </w:r>
          </w:p>
        </w:tc>
        <w:tc>
          <w:tcPr>
            <w:tcW w:w="2246" w:type="dxa"/>
            <w:tcBorders>
              <w:tl2br w:val="nil"/>
              <w:tr2bl w:val="nil"/>
            </w:tcBorders>
            <w:shd w:val="clear" w:color="auto" w:fill="auto"/>
            <w:noWrap/>
            <w:vAlign w:val="center"/>
          </w:tcPr>
          <w:p w14:paraId="1798192D">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1710" w:type="dxa"/>
            <w:tcBorders>
              <w:tl2br w:val="nil"/>
              <w:tr2bl w:val="nil"/>
            </w:tcBorders>
            <w:shd w:val="clear" w:color="auto" w:fill="auto"/>
            <w:noWrap/>
            <w:vAlign w:val="center"/>
          </w:tcPr>
          <w:p w14:paraId="73C8701B">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验收日期</w:t>
            </w:r>
          </w:p>
        </w:tc>
        <w:tc>
          <w:tcPr>
            <w:tcW w:w="3165" w:type="dxa"/>
            <w:tcBorders>
              <w:tl2br w:val="nil"/>
              <w:tr2bl w:val="nil"/>
            </w:tcBorders>
            <w:shd w:val="clear" w:color="auto" w:fill="auto"/>
            <w:noWrap/>
            <w:vAlign w:val="center"/>
          </w:tcPr>
          <w:p w14:paraId="704D1AF4">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1A4F0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1737" w:type="dxa"/>
            <w:vMerge w:val="restart"/>
            <w:tcBorders>
              <w:tl2br w:val="nil"/>
              <w:tr2bl w:val="nil"/>
            </w:tcBorders>
            <w:shd w:val="clear" w:color="auto" w:fill="auto"/>
            <w:textDirection w:val="tbRlV"/>
            <w:vAlign w:val="center"/>
          </w:tcPr>
          <w:p w14:paraId="71B79F7E">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验收内容</w:t>
            </w:r>
          </w:p>
        </w:tc>
        <w:tc>
          <w:tcPr>
            <w:tcW w:w="7121" w:type="dxa"/>
            <w:gridSpan w:val="3"/>
            <w:vMerge w:val="restart"/>
            <w:tcBorders>
              <w:tl2br w:val="nil"/>
              <w:tr2bl w:val="nil"/>
            </w:tcBorders>
            <w:shd w:val="clear" w:color="auto" w:fill="auto"/>
            <w:noWrap/>
            <w:vAlign w:val="center"/>
          </w:tcPr>
          <w:p w14:paraId="6F00893B">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30826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737" w:type="dxa"/>
            <w:vMerge w:val="continue"/>
            <w:tcBorders>
              <w:tl2br w:val="nil"/>
              <w:tr2bl w:val="nil"/>
            </w:tcBorders>
            <w:shd w:val="clear" w:color="auto" w:fill="auto"/>
            <w:textDirection w:val="tbRlV"/>
            <w:vAlign w:val="center"/>
          </w:tcPr>
          <w:p w14:paraId="10D255D7">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7121" w:type="dxa"/>
            <w:gridSpan w:val="3"/>
            <w:vMerge w:val="continue"/>
            <w:tcBorders>
              <w:tl2br w:val="nil"/>
              <w:tr2bl w:val="nil"/>
            </w:tcBorders>
            <w:shd w:val="clear" w:color="auto" w:fill="auto"/>
            <w:noWrap/>
            <w:vAlign w:val="center"/>
          </w:tcPr>
          <w:p w14:paraId="3FC66EE9">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54815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1737" w:type="dxa"/>
            <w:vMerge w:val="continue"/>
            <w:tcBorders>
              <w:tl2br w:val="nil"/>
              <w:tr2bl w:val="nil"/>
            </w:tcBorders>
            <w:shd w:val="clear" w:color="auto" w:fill="auto"/>
            <w:textDirection w:val="tbRlV"/>
            <w:vAlign w:val="center"/>
          </w:tcPr>
          <w:p w14:paraId="75BFFD22">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7121" w:type="dxa"/>
            <w:gridSpan w:val="3"/>
            <w:vMerge w:val="continue"/>
            <w:tcBorders>
              <w:tl2br w:val="nil"/>
              <w:tr2bl w:val="nil"/>
            </w:tcBorders>
            <w:shd w:val="clear" w:color="auto" w:fill="auto"/>
            <w:noWrap/>
            <w:vAlign w:val="center"/>
          </w:tcPr>
          <w:p w14:paraId="1391D0EE">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123BC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737" w:type="dxa"/>
            <w:vMerge w:val="continue"/>
            <w:tcBorders>
              <w:tl2br w:val="nil"/>
              <w:tr2bl w:val="nil"/>
            </w:tcBorders>
            <w:shd w:val="clear" w:color="auto" w:fill="auto"/>
            <w:textDirection w:val="tbRlV"/>
            <w:vAlign w:val="center"/>
          </w:tcPr>
          <w:p w14:paraId="548FF675">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7121" w:type="dxa"/>
            <w:gridSpan w:val="3"/>
            <w:vMerge w:val="continue"/>
            <w:tcBorders>
              <w:tl2br w:val="nil"/>
              <w:tr2bl w:val="nil"/>
            </w:tcBorders>
            <w:shd w:val="clear" w:color="auto" w:fill="auto"/>
            <w:noWrap/>
            <w:vAlign w:val="center"/>
          </w:tcPr>
          <w:p w14:paraId="3AE2F1D8">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04E48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983" w:type="dxa"/>
            <w:gridSpan w:val="2"/>
            <w:tcBorders>
              <w:tl2br w:val="nil"/>
              <w:tr2bl w:val="nil"/>
            </w:tcBorders>
            <w:shd w:val="clear" w:color="auto" w:fill="auto"/>
            <w:noWrap/>
            <w:vAlign w:val="center"/>
          </w:tcPr>
          <w:p w14:paraId="676D36AC">
            <w:pPr>
              <w:keepNext w:val="0"/>
              <w:keepLines w:val="0"/>
              <w:pageBreakBefore w:val="0"/>
              <w:widowControl/>
              <w:suppressLineNumbers w:val="0"/>
              <w:kinsoku/>
              <w:wordWrap/>
              <w:topLinePunct w:val="0"/>
              <w:bidi w:val="0"/>
              <w:spacing w:line="5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验收人及验收意见</w:t>
            </w:r>
          </w:p>
        </w:tc>
        <w:tc>
          <w:tcPr>
            <w:tcW w:w="4875" w:type="dxa"/>
            <w:gridSpan w:val="2"/>
            <w:tcBorders>
              <w:tl2br w:val="nil"/>
              <w:tr2bl w:val="nil"/>
            </w:tcBorders>
            <w:shd w:val="clear" w:color="auto" w:fill="auto"/>
            <w:noWrap/>
            <w:vAlign w:val="center"/>
          </w:tcPr>
          <w:p w14:paraId="09843C4E">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2F688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983" w:type="dxa"/>
            <w:gridSpan w:val="2"/>
            <w:vMerge w:val="restart"/>
            <w:tcBorders>
              <w:tl2br w:val="nil"/>
              <w:tr2bl w:val="nil"/>
            </w:tcBorders>
            <w:shd w:val="clear" w:color="auto" w:fill="auto"/>
            <w:noWrap/>
            <w:vAlign w:val="center"/>
          </w:tcPr>
          <w:p w14:paraId="6ED66C16">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cs="仿宋_GB2312"/>
                <w:i w:val="0"/>
                <w:iCs w:val="0"/>
                <w:color w:val="000000"/>
                <w:kern w:val="0"/>
                <w:sz w:val="24"/>
                <w:szCs w:val="24"/>
                <w:u w:val="none"/>
                <w:lang w:val="en-US" w:eastAsia="zh-CN" w:bidi="ar"/>
              </w:rPr>
              <w:t>建设单位/</w:t>
            </w:r>
            <w:r>
              <w:rPr>
                <w:rFonts w:hint="eastAsia" w:ascii="仿宋_GB2312" w:hAnsi="仿宋_GB2312" w:eastAsia="仿宋_GB2312" w:cs="仿宋_GB2312"/>
                <w:i w:val="0"/>
                <w:iCs w:val="0"/>
                <w:color w:val="000000"/>
                <w:kern w:val="0"/>
                <w:sz w:val="24"/>
                <w:szCs w:val="24"/>
                <w:u w:val="none"/>
                <w:lang w:val="en-US" w:eastAsia="zh-CN" w:bidi="ar"/>
              </w:rPr>
              <w:t>施工单位（签章）</w:t>
            </w:r>
          </w:p>
        </w:tc>
        <w:tc>
          <w:tcPr>
            <w:tcW w:w="4875" w:type="dxa"/>
            <w:gridSpan w:val="2"/>
            <w:vMerge w:val="restart"/>
            <w:tcBorders>
              <w:tl2br w:val="nil"/>
              <w:tr2bl w:val="nil"/>
            </w:tcBorders>
            <w:shd w:val="clear" w:color="auto" w:fill="auto"/>
            <w:noWrap/>
            <w:vAlign w:val="center"/>
          </w:tcPr>
          <w:p w14:paraId="036E789D">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管护单位（签章）</w:t>
            </w:r>
          </w:p>
        </w:tc>
      </w:tr>
      <w:tr w14:paraId="2D12E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983" w:type="dxa"/>
            <w:gridSpan w:val="2"/>
            <w:vMerge w:val="continue"/>
            <w:tcBorders>
              <w:tl2br w:val="nil"/>
              <w:tr2bl w:val="nil"/>
            </w:tcBorders>
            <w:shd w:val="clear" w:color="auto" w:fill="auto"/>
            <w:noWrap/>
            <w:vAlign w:val="center"/>
          </w:tcPr>
          <w:p w14:paraId="61C9D2E3">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continue"/>
            <w:tcBorders>
              <w:tl2br w:val="nil"/>
              <w:tr2bl w:val="nil"/>
            </w:tcBorders>
            <w:shd w:val="clear" w:color="auto" w:fill="auto"/>
            <w:noWrap/>
            <w:vAlign w:val="center"/>
          </w:tcPr>
          <w:p w14:paraId="6E291C32">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5C652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983" w:type="dxa"/>
            <w:gridSpan w:val="2"/>
            <w:vMerge w:val="restart"/>
            <w:tcBorders>
              <w:tl2br w:val="nil"/>
              <w:tr2bl w:val="nil"/>
            </w:tcBorders>
            <w:shd w:val="clear" w:color="auto" w:fill="auto"/>
            <w:noWrap/>
            <w:vAlign w:val="center"/>
          </w:tcPr>
          <w:p w14:paraId="3786728C">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restart"/>
            <w:tcBorders>
              <w:tl2br w:val="nil"/>
              <w:tr2bl w:val="nil"/>
            </w:tcBorders>
            <w:shd w:val="clear" w:color="auto" w:fill="auto"/>
            <w:noWrap/>
            <w:vAlign w:val="center"/>
          </w:tcPr>
          <w:p w14:paraId="32C1FF55">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15FB1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983" w:type="dxa"/>
            <w:gridSpan w:val="2"/>
            <w:vMerge w:val="continue"/>
            <w:tcBorders>
              <w:tl2br w:val="nil"/>
              <w:tr2bl w:val="nil"/>
            </w:tcBorders>
            <w:shd w:val="clear" w:color="auto" w:fill="auto"/>
            <w:noWrap/>
            <w:vAlign w:val="center"/>
          </w:tcPr>
          <w:p w14:paraId="0438D1B2">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continue"/>
            <w:tcBorders>
              <w:tl2br w:val="nil"/>
              <w:tr2bl w:val="nil"/>
            </w:tcBorders>
            <w:shd w:val="clear" w:color="auto" w:fill="auto"/>
            <w:noWrap/>
            <w:vAlign w:val="center"/>
          </w:tcPr>
          <w:p w14:paraId="120A2CDD">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49E1E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983" w:type="dxa"/>
            <w:gridSpan w:val="2"/>
            <w:vMerge w:val="continue"/>
            <w:tcBorders>
              <w:tl2br w:val="nil"/>
              <w:tr2bl w:val="nil"/>
            </w:tcBorders>
            <w:shd w:val="clear" w:color="auto" w:fill="auto"/>
            <w:noWrap/>
            <w:vAlign w:val="center"/>
          </w:tcPr>
          <w:p w14:paraId="6ABF2167">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continue"/>
            <w:tcBorders>
              <w:tl2br w:val="nil"/>
              <w:tr2bl w:val="nil"/>
            </w:tcBorders>
            <w:shd w:val="clear" w:color="auto" w:fill="auto"/>
            <w:noWrap/>
            <w:vAlign w:val="center"/>
          </w:tcPr>
          <w:p w14:paraId="37A6035A">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5DD43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983" w:type="dxa"/>
            <w:gridSpan w:val="2"/>
            <w:vMerge w:val="continue"/>
            <w:tcBorders>
              <w:tl2br w:val="nil"/>
              <w:tr2bl w:val="nil"/>
            </w:tcBorders>
            <w:shd w:val="clear" w:color="auto" w:fill="auto"/>
            <w:noWrap/>
            <w:vAlign w:val="center"/>
          </w:tcPr>
          <w:p w14:paraId="2CBDA1FD">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continue"/>
            <w:tcBorders>
              <w:tl2br w:val="nil"/>
              <w:tr2bl w:val="nil"/>
            </w:tcBorders>
            <w:shd w:val="clear" w:color="auto" w:fill="auto"/>
            <w:noWrap/>
            <w:vAlign w:val="center"/>
          </w:tcPr>
          <w:p w14:paraId="2A6CC485">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74AF4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3983" w:type="dxa"/>
            <w:gridSpan w:val="2"/>
            <w:vMerge w:val="continue"/>
            <w:tcBorders>
              <w:tl2br w:val="nil"/>
              <w:tr2bl w:val="nil"/>
            </w:tcBorders>
            <w:shd w:val="clear" w:color="auto" w:fill="auto"/>
            <w:noWrap/>
            <w:vAlign w:val="center"/>
          </w:tcPr>
          <w:p w14:paraId="11BD9F2B">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continue"/>
            <w:tcBorders>
              <w:tl2br w:val="nil"/>
              <w:tr2bl w:val="nil"/>
            </w:tcBorders>
            <w:shd w:val="clear" w:color="auto" w:fill="auto"/>
            <w:noWrap/>
            <w:vAlign w:val="center"/>
          </w:tcPr>
          <w:p w14:paraId="0157962F">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3B5C0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983" w:type="dxa"/>
            <w:gridSpan w:val="2"/>
            <w:vMerge w:val="restart"/>
            <w:tcBorders>
              <w:tl2br w:val="nil"/>
              <w:tr2bl w:val="nil"/>
            </w:tcBorders>
            <w:shd w:val="clear" w:color="auto" w:fill="auto"/>
            <w:noWrap/>
            <w:vAlign w:val="center"/>
          </w:tcPr>
          <w:p w14:paraId="0F6384EE">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师市住建局（签章）</w:t>
            </w:r>
          </w:p>
        </w:tc>
        <w:tc>
          <w:tcPr>
            <w:tcW w:w="4875" w:type="dxa"/>
            <w:gridSpan w:val="2"/>
            <w:vMerge w:val="restart"/>
            <w:tcBorders>
              <w:tl2br w:val="nil"/>
              <w:tr2bl w:val="nil"/>
            </w:tcBorders>
            <w:shd w:val="clear" w:color="auto" w:fill="auto"/>
            <w:noWrap/>
            <w:vAlign w:val="center"/>
          </w:tcPr>
          <w:p w14:paraId="4490E0E4">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师市城管局（签章）</w:t>
            </w:r>
          </w:p>
        </w:tc>
      </w:tr>
      <w:tr w14:paraId="28F3F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983" w:type="dxa"/>
            <w:gridSpan w:val="2"/>
            <w:vMerge w:val="continue"/>
            <w:tcBorders>
              <w:tl2br w:val="nil"/>
              <w:tr2bl w:val="nil"/>
            </w:tcBorders>
            <w:shd w:val="clear" w:color="auto" w:fill="auto"/>
            <w:noWrap/>
            <w:vAlign w:val="center"/>
          </w:tcPr>
          <w:p w14:paraId="19745C98">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continue"/>
            <w:tcBorders>
              <w:tl2br w:val="nil"/>
              <w:tr2bl w:val="nil"/>
            </w:tcBorders>
            <w:shd w:val="clear" w:color="auto" w:fill="auto"/>
            <w:noWrap/>
            <w:vAlign w:val="center"/>
          </w:tcPr>
          <w:p w14:paraId="69A92878">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1F1FB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983" w:type="dxa"/>
            <w:gridSpan w:val="2"/>
            <w:vMerge w:val="restart"/>
            <w:tcBorders>
              <w:tl2br w:val="nil"/>
              <w:tr2bl w:val="nil"/>
            </w:tcBorders>
            <w:shd w:val="clear" w:color="auto" w:fill="auto"/>
            <w:noWrap/>
            <w:vAlign w:val="center"/>
          </w:tcPr>
          <w:p w14:paraId="1F38C692">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restart"/>
            <w:tcBorders>
              <w:tl2br w:val="nil"/>
              <w:tr2bl w:val="nil"/>
            </w:tcBorders>
            <w:shd w:val="clear" w:color="auto" w:fill="auto"/>
            <w:noWrap/>
            <w:vAlign w:val="center"/>
          </w:tcPr>
          <w:p w14:paraId="67A39A37">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5559A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983" w:type="dxa"/>
            <w:gridSpan w:val="2"/>
            <w:vMerge w:val="continue"/>
            <w:tcBorders>
              <w:tl2br w:val="nil"/>
              <w:tr2bl w:val="nil"/>
            </w:tcBorders>
            <w:shd w:val="clear" w:color="auto" w:fill="auto"/>
            <w:noWrap/>
            <w:vAlign w:val="center"/>
          </w:tcPr>
          <w:p w14:paraId="4B310558">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continue"/>
            <w:tcBorders>
              <w:tl2br w:val="nil"/>
              <w:tr2bl w:val="nil"/>
            </w:tcBorders>
            <w:shd w:val="clear" w:color="auto" w:fill="auto"/>
            <w:noWrap/>
            <w:vAlign w:val="center"/>
          </w:tcPr>
          <w:p w14:paraId="20E07E73">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7413F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983" w:type="dxa"/>
            <w:gridSpan w:val="2"/>
            <w:vMerge w:val="continue"/>
            <w:tcBorders>
              <w:tl2br w:val="nil"/>
              <w:tr2bl w:val="nil"/>
            </w:tcBorders>
            <w:shd w:val="clear" w:color="auto" w:fill="auto"/>
            <w:noWrap/>
            <w:vAlign w:val="center"/>
          </w:tcPr>
          <w:p w14:paraId="1A09208A">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continue"/>
            <w:tcBorders>
              <w:tl2br w:val="nil"/>
              <w:tr2bl w:val="nil"/>
            </w:tcBorders>
            <w:shd w:val="clear" w:color="auto" w:fill="auto"/>
            <w:noWrap/>
            <w:vAlign w:val="center"/>
          </w:tcPr>
          <w:p w14:paraId="7628605D">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04D69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983" w:type="dxa"/>
            <w:gridSpan w:val="2"/>
            <w:vMerge w:val="continue"/>
            <w:tcBorders>
              <w:tl2br w:val="nil"/>
              <w:tr2bl w:val="nil"/>
            </w:tcBorders>
            <w:shd w:val="clear" w:color="auto" w:fill="auto"/>
            <w:noWrap/>
            <w:vAlign w:val="center"/>
          </w:tcPr>
          <w:p w14:paraId="44C526B0">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continue"/>
            <w:tcBorders>
              <w:tl2br w:val="nil"/>
              <w:tr2bl w:val="nil"/>
            </w:tcBorders>
            <w:shd w:val="clear" w:color="auto" w:fill="auto"/>
            <w:noWrap/>
            <w:vAlign w:val="center"/>
          </w:tcPr>
          <w:p w14:paraId="51A63BC9">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65D61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0" w:hRule="atLeast"/>
        </w:trPr>
        <w:tc>
          <w:tcPr>
            <w:tcW w:w="3983" w:type="dxa"/>
            <w:gridSpan w:val="2"/>
            <w:vMerge w:val="continue"/>
            <w:tcBorders>
              <w:tl2br w:val="nil"/>
              <w:tr2bl w:val="nil"/>
            </w:tcBorders>
            <w:shd w:val="clear" w:color="auto" w:fill="auto"/>
            <w:noWrap/>
            <w:vAlign w:val="center"/>
          </w:tcPr>
          <w:p w14:paraId="6820A870">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4875" w:type="dxa"/>
            <w:gridSpan w:val="2"/>
            <w:vMerge w:val="continue"/>
            <w:tcBorders>
              <w:tl2br w:val="nil"/>
              <w:tr2bl w:val="nil"/>
            </w:tcBorders>
            <w:shd w:val="clear" w:color="auto" w:fill="auto"/>
            <w:noWrap/>
            <w:vAlign w:val="center"/>
          </w:tcPr>
          <w:p w14:paraId="0CE494EC">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bl>
    <w:p w14:paraId="16DDFF2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附件4</w:t>
      </w:r>
    </w:p>
    <w:p w14:paraId="034100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spacing w:val="20"/>
          <w:kern w:val="0"/>
          <w:sz w:val="44"/>
          <w:szCs w:val="44"/>
        </w:rPr>
      </w:pPr>
      <w:r>
        <w:rPr>
          <w:rFonts w:hint="default" w:ascii="方正小标宋简体" w:hAnsi="方正小标宋简体" w:eastAsia="方正小标宋简体" w:cs="方正小标宋简体"/>
          <w:b w:val="0"/>
          <w:bCs/>
          <w:spacing w:val="20"/>
          <w:kern w:val="0"/>
          <w:sz w:val="44"/>
          <w:szCs w:val="44"/>
          <w:lang w:val="en-US" w:eastAsia="zh-CN"/>
        </w:rPr>
        <w:t>占用绿地</w:t>
      </w:r>
      <w:r>
        <w:rPr>
          <w:rFonts w:hint="eastAsia" w:ascii="方正小标宋简体" w:hAnsi="方正小标宋简体" w:eastAsia="方正小标宋简体" w:cs="方正小标宋简体"/>
          <w:b w:val="0"/>
          <w:bCs/>
          <w:spacing w:val="20"/>
          <w:kern w:val="0"/>
          <w:sz w:val="44"/>
          <w:szCs w:val="44"/>
          <w:lang w:val="en-US" w:eastAsia="zh-CN"/>
        </w:rPr>
        <w:t>申请</w:t>
      </w:r>
      <w:r>
        <w:rPr>
          <w:rFonts w:hint="default" w:ascii="方正小标宋简体" w:hAnsi="方正小标宋简体" w:eastAsia="方正小标宋简体" w:cs="方正小标宋简体"/>
          <w:b w:val="0"/>
          <w:bCs/>
          <w:spacing w:val="20"/>
          <w:kern w:val="0"/>
          <w:sz w:val="44"/>
          <w:szCs w:val="44"/>
          <w:lang w:val="en-US" w:eastAsia="zh-CN"/>
        </w:rPr>
        <w:t>表</w:t>
      </w:r>
      <w:r>
        <w:rPr>
          <w:rFonts w:hint="default" w:ascii="方正小标宋简体" w:hAnsi="方正小标宋简体" w:eastAsia="方正小标宋简体" w:cs="方正小标宋简体"/>
          <w:b w:val="0"/>
          <w:bCs/>
          <w:spacing w:val="20"/>
          <w:kern w:val="0"/>
          <w:sz w:val="44"/>
          <w:szCs w:val="44"/>
        </w:rPr>
        <w:t>（样表）</w:t>
      </w:r>
    </w:p>
    <w:tbl>
      <w:tblPr>
        <w:tblStyle w:val="16"/>
        <w:tblW w:w="8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720"/>
        <w:gridCol w:w="818"/>
        <w:gridCol w:w="1526"/>
        <w:gridCol w:w="996"/>
        <w:gridCol w:w="291"/>
        <w:gridCol w:w="775"/>
        <w:gridCol w:w="308"/>
        <w:gridCol w:w="655"/>
        <w:gridCol w:w="1441"/>
      </w:tblGrid>
      <w:tr w14:paraId="24C7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257BF5">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Style w:val="36"/>
                <w:rFonts w:hint="eastAsia" w:ascii="仿宋_GB2312" w:hAnsi="仿宋_GB2312" w:eastAsia="仿宋_GB2312" w:cs="仿宋_GB2312"/>
                <w:sz w:val="24"/>
                <w:szCs w:val="24"/>
                <w:lang w:val="en-US" w:eastAsia="zh-CN" w:bidi="ar"/>
              </w:rPr>
              <w:t>申请人情况</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48A8BC">
            <w:pPr>
              <w:keepNext w:val="0"/>
              <w:keepLines w:val="0"/>
              <w:pageBreakBefore w:val="0"/>
              <w:widowControl/>
              <w:suppressLineNumbers w:val="0"/>
              <w:kinsoku/>
              <w:wordWrap/>
              <w:topLinePunct w:val="0"/>
              <w:bidi w:val="0"/>
              <w:spacing w:line="560" w:lineRule="exact"/>
              <w:jc w:val="center"/>
              <w:textAlignment w:val="top"/>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br w:type="textWrapping"/>
            </w:r>
            <w:r>
              <w:rPr>
                <w:rStyle w:val="36"/>
                <w:rFonts w:hint="eastAsia" w:ascii="仿宋_GB2312" w:hAnsi="仿宋_GB2312" w:eastAsia="仿宋_GB2312" w:cs="仿宋_GB2312"/>
                <w:sz w:val="24"/>
                <w:szCs w:val="24"/>
                <w:lang w:val="en-US" w:eastAsia="zh-CN" w:bidi="ar"/>
              </w:rPr>
              <w:t>姓 名</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20D4">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top"/>
          </w:tcPr>
          <w:p w14:paraId="3C6D3D45">
            <w:pPr>
              <w:keepNext w:val="0"/>
              <w:keepLines w:val="0"/>
              <w:pageBreakBefore w:val="0"/>
              <w:widowControl/>
              <w:suppressLineNumbers w:val="0"/>
              <w:kinsoku/>
              <w:wordWrap/>
              <w:topLinePunct w:val="0"/>
              <w:bidi w:val="0"/>
              <w:spacing w:line="560" w:lineRule="exact"/>
              <w:jc w:val="right"/>
              <w:textAlignment w:val="top"/>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br w:type="textWrapping"/>
            </w:r>
            <w:r>
              <w:rPr>
                <w:rStyle w:val="36"/>
                <w:rFonts w:hint="eastAsia" w:ascii="仿宋_GB2312" w:hAnsi="仿宋_GB2312" w:eastAsia="仿宋_GB2312" w:cs="仿宋_GB2312"/>
                <w:sz w:val="24"/>
                <w:szCs w:val="24"/>
                <w:lang w:val="en-US" w:eastAsia="zh-CN" w:bidi="ar"/>
              </w:rPr>
              <w:t>性 别</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9C0B1">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96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6CE011">
            <w:pPr>
              <w:keepNext w:val="0"/>
              <w:keepLines w:val="0"/>
              <w:pageBreakBefore w:val="0"/>
              <w:widowControl/>
              <w:suppressLineNumbers w:val="0"/>
              <w:kinsoku/>
              <w:wordWrap/>
              <w:topLinePunct w:val="0"/>
              <w:bidi w:val="0"/>
              <w:spacing w:line="560" w:lineRule="exact"/>
              <w:ind w:firstLineChars="100"/>
              <w:jc w:val="left"/>
              <w:textAlignment w:val="top"/>
              <w:rPr>
                <w:rFonts w:hint="eastAsia" w:ascii="仿宋_GB2312" w:hAnsi="仿宋_GB2312" w:eastAsia="仿宋_GB2312" w:cs="仿宋_GB2312"/>
                <w:i w:val="0"/>
                <w:iCs w:val="0"/>
                <w:color w:val="000000"/>
                <w:sz w:val="24"/>
                <w:szCs w:val="24"/>
                <w:u w:val="none"/>
              </w:rPr>
            </w:pPr>
            <w:r>
              <w:rPr>
                <w:rStyle w:val="37"/>
                <w:rFonts w:hint="eastAsia" w:ascii="仿宋_GB2312" w:hAnsi="仿宋_GB2312" w:eastAsia="仿宋_GB2312" w:cs="仿宋_GB2312"/>
                <w:sz w:val="24"/>
                <w:szCs w:val="24"/>
                <w:lang w:val="en-US" w:eastAsia="zh-CN" w:bidi="ar"/>
              </w:rPr>
              <w:br w:type="textWrapping"/>
            </w:r>
            <w:r>
              <w:rPr>
                <w:rStyle w:val="36"/>
                <w:rFonts w:hint="eastAsia" w:ascii="仿宋_GB2312" w:hAnsi="仿宋_GB2312" w:eastAsia="仿宋_GB2312" w:cs="仿宋_GB2312"/>
                <w:sz w:val="24"/>
                <w:szCs w:val="24"/>
                <w:lang w:val="en-US" w:eastAsia="zh-CN" w:bidi="ar"/>
              </w:rPr>
              <w:t>民族</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139E">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05AE9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14141D">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9F092">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Style w:val="36"/>
                <w:rFonts w:hint="eastAsia" w:ascii="仿宋_GB2312" w:hAnsi="仿宋_GB2312" w:eastAsia="仿宋_GB2312" w:cs="仿宋_GB2312"/>
                <w:sz w:val="24"/>
                <w:szCs w:val="24"/>
                <w:lang w:val="en-US" w:eastAsia="zh-CN" w:bidi="ar"/>
              </w:rPr>
              <w:t>地址</w:t>
            </w:r>
          </w:p>
        </w:tc>
        <w:tc>
          <w:tcPr>
            <w:tcW w:w="59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826D7C">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0514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0BBA13">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5C2C0">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Style w:val="36"/>
                <w:rFonts w:hint="eastAsia" w:ascii="仿宋_GB2312" w:hAnsi="仿宋_GB2312" w:eastAsia="仿宋_GB2312" w:cs="仿宋_GB2312"/>
                <w:sz w:val="24"/>
                <w:szCs w:val="24"/>
                <w:lang w:val="en-US" w:eastAsia="zh-CN" w:bidi="ar"/>
              </w:rPr>
              <w:t>身份证号码</w:t>
            </w:r>
          </w:p>
        </w:tc>
        <w:tc>
          <w:tcPr>
            <w:tcW w:w="2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8DCE4">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D2992">
            <w:pPr>
              <w:keepNext w:val="0"/>
              <w:keepLines w:val="0"/>
              <w:pageBreakBefore w:val="0"/>
              <w:widowControl/>
              <w:suppressLineNumbers w:val="0"/>
              <w:kinsoku/>
              <w:wordWrap/>
              <w:topLinePunct w:val="0"/>
              <w:bidi w:val="0"/>
              <w:spacing w:line="560" w:lineRule="exact"/>
              <w:jc w:val="right"/>
              <w:textAlignment w:val="center"/>
              <w:rPr>
                <w:rFonts w:hint="eastAsia" w:ascii="仿宋_GB2312" w:hAnsi="仿宋_GB2312" w:eastAsia="仿宋_GB2312" w:cs="仿宋_GB2312"/>
                <w:i w:val="0"/>
                <w:iCs w:val="0"/>
                <w:color w:val="000000"/>
                <w:sz w:val="24"/>
                <w:szCs w:val="24"/>
                <w:u w:val="none"/>
              </w:rPr>
            </w:pPr>
            <w:r>
              <w:rPr>
                <w:rStyle w:val="36"/>
                <w:rFonts w:hint="eastAsia" w:ascii="仿宋_GB2312" w:hAnsi="仿宋_GB2312" w:eastAsia="仿宋_GB2312" w:cs="仿宋_GB2312"/>
                <w:sz w:val="24"/>
                <w:szCs w:val="24"/>
                <w:lang w:val="en-US" w:eastAsia="zh-CN" w:bidi="ar"/>
              </w:rPr>
              <w:t>联系电话</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2C23E">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r w14:paraId="65B7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19C5A169">
            <w:pPr>
              <w:keepNext w:val="0"/>
              <w:keepLines w:val="0"/>
              <w:pageBreakBefore w:val="0"/>
              <w:widowControl/>
              <w:suppressLineNumbers w:val="0"/>
              <w:kinsoku/>
              <w:wordWrap/>
              <w:topLinePunct w:val="0"/>
              <w:bidi w:val="0"/>
              <w:spacing w:line="560" w:lineRule="exact"/>
              <w:ind w:firstLineChars="100"/>
              <w:jc w:val="center"/>
              <w:textAlignment w:val="top"/>
              <w:rPr>
                <w:rFonts w:hint="eastAsia" w:ascii="仿宋_GB2312" w:hAnsi="仿宋_GB2312" w:eastAsia="仿宋_GB2312" w:cs="仿宋_GB2312"/>
                <w:i w:val="0"/>
                <w:iCs w:val="0"/>
                <w:color w:val="000000"/>
                <w:sz w:val="24"/>
                <w:szCs w:val="24"/>
                <w:u w:val="none"/>
              </w:rPr>
            </w:pPr>
            <w:r>
              <w:rPr>
                <w:rStyle w:val="36"/>
                <w:rFonts w:hint="eastAsia" w:ascii="仿宋_GB2312" w:hAnsi="仿宋_GB2312" w:eastAsia="仿宋_GB2312" w:cs="仿宋_GB2312"/>
                <w:sz w:val="24"/>
                <w:szCs w:val="24"/>
                <w:lang w:val="en-US" w:eastAsia="zh-CN" w:bidi="ar"/>
              </w:rPr>
              <w:t>申请占用情况</w:t>
            </w: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630F1">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Style w:val="36"/>
                <w:rFonts w:hint="eastAsia" w:ascii="仿宋_GB2312" w:hAnsi="仿宋_GB2312" w:eastAsia="仿宋_GB2312" w:cs="仿宋_GB2312"/>
                <w:sz w:val="24"/>
                <w:szCs w:val="24"/>
                <w:lang w:val="en-US" w:eastAsia="zh-CN" w:bidi="ar"/>
              </w:rPr>
              <w:t>占用位置</w:t>
            </w:r>
          </w:p>
        </w:tc>
        <w:tc>
          <w:tcPr>
            <w:tcW w:w="599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3AC8ED8">
            <w:pPr>
              <w:keepNext w:val="0"/>
              <w:keepLines w:val="0"/>
              <w:pageBreakBefore w:val="0"/>
              <w:kinsoku/>
              <w:wordWrap/>
              <w:topLinePunct w:val="0"/>
              <w:bidi w:val="0"/>
              <w:spacing w:line="560" w:lineRule="exact"/>
              <w:jc w:val="left"/>
              <w:rPr>
                <w:rFonts w:hint="eastAsia" w:ascii="仿宋_GB2312" w:hAnsi="仿宋_GB2312" w:eastAsia="仿宋_GB2312" w:cs="仿宋_GB2312"/>
                <w:i w:val="0"/>
                <w:iCs w:val="0"/>
                <w:color w:val="000000"/>
                <w:sz w:val="24"/>
                <w:szCs w:val="24"/>
                <w:u w:val="none"/>
              </w:rPr>
            </w:pPr>
          </w:p>
        </w:tc>
      </w:tr>
      <w:tr w14:paraId="63F1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1810E6D">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7A75D">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Style w:val="36"/>
                <w:rFonts w:hint="eastAsia" w:ascii="仿宋_GB2312" w:hAnsi="仿宋_GB2312" w:eastAsia="仿宋_GB2312" w:cs="仿宋_GB2312"/>
                <w:sz w:val="24"/>
                <w:szCs w:val="24"/>
                <w:lang w:val="en-US" w:eastAsia="zh-CN" w:bidi="ar"/>
              </w:rPr>
              <w:t>拟占用时间</w:t>
            </w:r>
          </w:p>
        </w:tc>
        <w:tc>
          <w:tcPr>
            <w:tcW w:w="59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DC57C1">
            <w:pPr>
              <w:keepNext w:val="0"/>
              <w:keepLines w:val="0"/>
              <w:pageBreakBefore w:val="0"/>
              <w:widowControl/>
              <w:suppressLineNumbers w:val="0"/>
              <w:kinsoku/>
              <w:wordWrap/>
              <w:topLinePunct w:val="0"/>
              <w:bidi w:val="0"/>
              <w:spacing w:line="560" w:lineRule="exact"/>
              <w:jc w:val="left"/>
              <w:textAlignment w:val="center"/>
              <w:rPr>
                <w:rFonts w:hint="eastAsia" w:ascii="仿宋_GB2312" w:hAnsi="仿宋_GB2312" w:eastAsia="仿宋_GB2312" w:cs="仿宋_GB2312"/>
                <w:i w:val="0"/>
                <w:iCs w:val="0"/>
                <w:color w:val="000000"/>
                <w:sz w:val="24"/>
                <w:szCs w:val="24"/>
                <w:u w:val="none"/>
              </w:rPr>
            </w:pPr>
            <w:r>
              <w:rPr>
                <w:rStyle w:val="36"/>
                <w:rFonts w:hint="eastAsia" w:ascii="仿宋_GB2312" w:hAnsi="仿宋_GB2312" w:eastAsia="仿宋_GB2312" w:cs="仿宋_GB2312"/>
                <w:sz w:val="24"/>
                <w:szCs w:val="24"/>
                <w:lang w:val="en-US" w:eastAsia="zh-CN" w:bidi="ar"/>
              </w:rPr>
              <w:t>自   年  月     日至    年   月   日</w:t>
            </w:r>
          </w:p>
        </w:tc>
      </w:tr>
      <w:tr w14:paraId="32DC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787FC4D">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DB0A7">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Style w:val="36"/>
                <w:rFonts w:hint="eastAsia" w:ascii="仿宋_GB2312" w:hAnsi="仿宋_GB2312" w:eastAsia="仿宋_GB2312" w:cs="仿宋_GB2312"/>
                <w:sz w:val="24"/>
                <w:szCs w:val="24"/>
                <w:lang w:val="en-US" w:eastAsia="zh-CN" w:bidi="ar"/>
              </w:rPr>
              <w:t>占用形式</w:t>
            </w:r>
          </w:p>
        </w:tc>
        <w:tc>
          <w:tcPr>
            <w:tcW w:w="59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C26F09">
            <w:pPr>
              <w:keepNext w:val="0"/>
              <w:keepLines w:val="0"/>
              <w:pageBreakBefore w:val="0"/>
              <w:widowControl/>
              <w:suppressLineNumbers w:val="0"/>
              <w:kinsoku/>
              <w:wordWrap/>
              <w:topLinePunct w:val="0"/>
              <w:bidi w:val="0"/>
              <w:spacing w:line="560" w:lineRule="exact"/>
              <w:jc w:val="left"/>
              <w:textAlignment w:val="center"/>
              <w:rPr>
                <w:rFonts w:hint="eastAsia" w:ascii="仿宋_GB2312" w:hAnsi="仿宋_GB2312" w:eastAsia="仿宋_GB2312" w:cs="仿宋_GB2312"/>
                <w:i w:val="0"/>
                <w:iCs w:val="0"/>
                <w:color w:val="000000"/>
                <w:sz w:val="24"/>
                <w:szCs w:val="24"/>
                <w:u w:val="none"/>
              </w:rPr>
            </w:pPr>
            <w:r>
              <w:rPr>
                <w:rStyle w:val="36"/>
                <w:rFonts w:hint="eastAsia" w:ascii="仿宋_GB2312" w:hAnsi="仿宋_GB2312" w:cs="仿宋_GB2312"/>
                <w:sz w:val="24"/>
                <w:szCs w:val="24"/>
                <w:lang w:val="en-US" w:eastAsia="zh-CN" w:bidi="ar"/>
              </w:rPr>
              <w:t>□</w:t>
            </w:r>
            <w:r>
              <w:rPr>
                <w:rStyle w:val="36"/>
                <w:rFonts w:hint="eastAsia" w:ascii="仿宋_GB2312" w:hAnsi="仿宋_GB2312" w:eastAsia="仿宋_GB2312" w:cs="仿宋_GB2312"/>
                <w:sz w:val="24"/>
                <w:szCs w:val="24"/>
                <w:lang w:val="en-US" w:eastAsia="zh-CN" w:bidi="ar"/>
              </w:rPr>
              <w:t>开设路</w:t>
            </w:r>
            <w:r>
              <w:rPr>
                <w:rStyle w:val="36"/>
                <w:rFonts w:hint="eastAsia" w:ascii="仿宋_GB2312" w:hAnsi="仿宋_GB2312" w:cs="仿宋_GB2312"/>
                <w:sz w:val="24"/>
                <w:szCs w:val="24"/>
                <w:lang w:val="en-US" w:eastAsia="zh-CN" w:bidi="ar"/>
              </w:rPr>
              <w:t>口  □</w:t>
            </w:r>
            <w:r>
              <w:rPr>
                <w:rStyle w:val="36"/>
                <w:rFonts w:hint="eastAsia" w:ascii="仿宋_GB2312" w:hAnsi="仿宋_GB2312" w:eastAsia="仿宋_GB2312" w:cs="仿宋_GB2312"/>
                <w:sz w:val="24"/>
                <w:szCs w:val="24"/>
                <w:lang w:val="en-US" w:eastAsia="zh-CN" w:bidi="ar"/>
              </w:rPr>
              <w:t>设立广告牌</w:t>
            </w:r>
            <w:r>
              <w:rPr>
                <w:rStyle w:val="36"/>
                <w:rFonts w:hint="eastAsia" w:ascii="仿宋_GB2312" w:hAnsi="仿宋_GB2312" w:cs="仿宋_GB2312"/>
                <w:sz w:val="24"/>
                <w:szCs w:val="24"/>
                <w:lang w:val="en-US" w:eastAsia="zh-CN" w:bidi="ar"/>
              </w:rPr>
              <w:t xml:space="preserve">  </w:t>
            </w:r>
            <w:r>
              <w:rPr>
                <w:rStyle w:val="36"/>
                <w:rFonts w:hint="eastAsia" w:ascii="仿宋_GB2312" w:hAnsi="仿宋_GB2312" w:eastAsia="仿宋_GB2312" w:cs="仿宋_GB2312"/>
                <w:sz w:val="24"/>
                <w:szCs w:val="24"/>
                <w:lang w:val="en-US" w:eastAsia="zh-CN" w:bidi="ar"/>
              </w:rPr>
              <w:t xml:space="preserve">□修路 </w:t>
            </w:r>
            <w:r>
              <w:rPr>
                <w:rStyle w:val="36"/>
                <w:rFonts w:hint="eastAsia" w:ascii="仿宋_GB2312" w:hAnsi="仿宋_GB2312" w:cs="仿宋_GB2312"/>
                <w:sz w:val="24"/>
                <w:szCs w:val="24"/>
                <w:lang w:val="en-US" w:eastAsia="zh-CN" w:bidi="ar"/>
              </w:rPr>
              <w:t xml:space="preserve"> □</w:t>
            </w:r>
            <w:r>
              <w:rPr>
                <w:rStyle w:val="36"/>
                <w:rFonts w:hint="eastAsia" w:ascii="仿宋_GB2312" w:hAnsi="仿宋_GB2312" w:eastAsia="仿宋_GB2312" w:cs="仿宋_GB2312"/>
                <w:sz w:val="24"/>
                <w:szCs w:val="24"/>
                <w:lang w:val="en-US" w:eastAsia="zh-CN" w:bidi="ar"/>
              </w:rPr>
              <w:t>维修</w:t>
            </w:r>
            <w:r>
              <w:rPr>
                <w:rStyle w:val="36"/>
                <w:rFonts w:hint="eastAsia" w:ascii="仿宋_GB2312" w:hAnsi="仿宋_GB2312" w:cs="仿宋_GB2312"/>
                <w:sz w:val="24"/>
                <w:szCs w:val="24"/>
                <w:lang w:val="en-US" w:eastAsia="zh-CN" w:bidi="ar"/>
              </w:rPr>
              <w:t xml:space="preserve">  □</w:t>
            </w:r>
            <w:r>
              <w:rPr>
                <w:rStyle w:val="36"/>
                <w:rFonts w:hint="eastAsia" w:ascii="仿宋_GB2312" w:hAnsi="仿宋_GB2312" w:eastAsia="仿宋_GB2312" w:cs="仿宋_GB2312"/>
                <w:sz w:val="24"/>
                <w:szCs w:val="24"/>
                <w:lang w:val="en-US" w:eastAsia="zh-CN" w:bidi="ar"/>
              </w:rPr>
              <w:t>其他</w:t>
            </w:r>
          </w:p>
        </w:tc>
      </w:tr>
      <w:tr w14:paraId="3294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546E59D9">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64169">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Style w:val="36"/>
                <w:rFonts w:hint="eastAsia" w:ascii="仿宋_GB2312" w:hAnsi="仿宋_GB2312" w:eastAsia="仿宋_GB2312" w:cs="仿宋_GB2312"/>
                <w:sz w:val="24"/>
                <w:szCs w:val="24"/>
                <w:lang w:val="en-US" w:eastAsia="zh-CN" w:bidi="ar"/>
              </w:rPr>
              <w:t>占用规格</w:t>
            </w:r>
          </w:p>
        </w:tc>
        <w:tc>
          <w:tcPr>
            <w:tcW w:w="59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1DC7F4">
            <w:pPr>
              <w:keepNext w:val="0"/>
              <w:keepLines w:val="0"/>
              <w:pageBreakBefore w:val="0"/>
              <w:widowControl/>
              <w:suppressLineNumbers w:val="0"/>
              <w:kinsoku/>
              <w:wordWrap/>
              <w:topLinePunct w:val="0"/>
              <w:bidi w:val="0"/>
              <w:spacing w:line="5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   米，宽   米，深  米</w:t>
            </w:r>
          </w:p>
        </w:tc>
      </w:tr>
      <w:tr w14:paraId="1DEBB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5" w:hRule="atLeast"/>
        </w:trPr>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B9A51">
            <w:pPr>
              <w:keepNext w:val="0"/>
              <w:keepLines w:val="0"/>
              <w:pageBreakBefore w:val="0"/>
              <w:widowControl/>
              <w:suppressLineNumbers w:val="0"/>
              <w:kinsoku/>
              <w:wordWrap/>
              <w:topLinePunct w:val="0"/>
              <w:bidi w:val="0"/>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申请人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签字盖章</w:t>
            </w:r>
          </w:p>
        </w:tc>
        <w:tc>
          <w:tcPr>
            <w:tcW w:w="68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8EF85B">
            <w:pPr>
              <w:keepNext w:val="0"/>
              <w:keepLines w:val="0"/>
              <w:pageBreakBefore w:val="0"/>
              <w:kinsoku/>
              <w:wordWrap/>
              <w:topLinePunct w:val="0"/>
              <w:bidi w:val="0"/>
              <w:spacing w:line="560" w:lineRule="exact"/>
              <w:jc w:val="center"/>
              <w:rPr>
                <w:rFonts w:hint="eastAsia" w:ascii="仿宋_GB2312" w:hAnsi="仿宋_GB2312" w:eastAsia="仿宋_GB2312" w:cs="仿宋_GB2312"/>
                <w:i w:val="0"/>
                <w:iCs w:val="0"/>
                <w:color w:val="000000"/>
                <w:sz w:val="24"/>
                <w:szCs w:val="24"/>
                <w:u w:val="none"/>
              </w:rPr>
            </w:pPr>
          </w:p>
        </w:tc>
      </w:tr>
    </w:tbl>
    <w:p w14:paraId="31F5ACF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附件5</w:t>
      </w:r>
    </w:p>
    <w:p w14:paraId="2900EEA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方正小标宋简体" w:hAnsi="方正小标宋简体" w:eastAsia="方正小标宋简体" w:cs="方正小标宋简体"/>
          <w:b w:val="0"/>
          <w:bCs/>
          <w:spacing w:val="20"/>
          <w:kern w:val="0"/>
          <w:sz w:val="44"/>
          <w:szCs w:val="44"/>
          <w:lang w:val="en-US" w:eastAsia="zh-CN"/>
        </w:rPr>
      </w:pPr>
      <w:r>
        <w:rPr>
          <w:rFonts w:hint="eastAsia" w:ascii="方正小标宋简体" w:hAnsi="方正小标宋简体" w:eastAsia="方正小标宋简体" w:cs="方正小标宋简体"/>
          <w:b w:val="0"/>
          <w:bCs/>
          <w:spacing w:val="20"/>
          <w:kern w:val="0"/>
          <w:sz w:val="44"/>
          <w:szCs w:val="44"/>
          <w:lang w:val="en-US" w:eastAsia="zh-CN"/>
        </w:rPr>
        <w:t>占用城市绿地绿化恢复验收表</w:t>
      </w:r>
      <w:r>
        <w:rPr>
          <w:rFonts w:hint="default" w:ascii="方正小标宋简体" w:hAnsi="方正小标宋简体" w:eastAsia="方正小标宋简体" w:cs="方正小标宋简体"/>
          <w:b w:val="0"/>
          <w:bCs/>
          <w:spacing w:val="20"/>
          <w:kern w:val="0"/>
          <w:sz w:val="44"/>
          <w:szCs w:val="44"/>
          <w:lang w:val="en-US" w:eastAsia="zh-CN"/>
        </w:rPr>
        <w:t>（样表）</w:t>
      </w:r>
    </w:p>
    <w:tbl>
      <w:tblPr>
        <w:tblStyle w:val="16"/>
        <w:tblpPr w:leftFromText="180" w:rightFromText="180" w:vertAnchor="text" w:horzAnchor="page" w:tblpXSpec="center" w:tblpY="362"/>
        <w:tblOverlap w:val="never"/>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18"/>
        <w:gridCol w:w="3118"/>
        <w:gridCol w:w="3118"/>
      </w:tblGrid>
      <w:tr w14:paraId="74E2C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6236" w:type="dxa"/>
            <w:gridSpan w:val="2"/>
            <w:noWrap w:val="0"/>
            <w:vAlign w:val="center"/>
          </w:tcPr>
          <w:p w14:paraId="32233420">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default" w:ascii="Times New Roman" w:hAnsi="Times New Roman" w:eastAsia="微软雅黑" w:cs="Times New Roman"/>
                <w:sz w:val="32"/>
                <w:szCs w:val="32"/>
              </w:rPr>
            </w:pPr>
            <w:r>
              <w:rPr>
                <w:rFonts w:hint="default" w:ascii="Times New Roman" w:hAnsi="Times New Roman" w:eastAsia="微软雅黑" w:cs="Times New Roman"/>
                <w:sz w:val="32"/>
                <w:szCs w:val="32"/>
              </w:rPr>
              <w:t>施工项目：</w:t>
            </w:r>
          </w:p>
        </w:tc>
        <w:tc>
          <w:tcPr>
            <w:tcW w:w="3118" w:type="dxa"/>
            <w:noWrap w:val="0"/>
            <w:vAlign w:val="center"/>
          </w:tcPr>
          <w:p w14:paraId="223DB390">
            <w:pPr>
              <w:keepNext w:val="0"/>
              <w:keepLines w:val="0"/>
              <w:pageBreakBefore w:val="0"/>
              <w:widowControl/>
              <w:kinsoku/>
              <w:wordWrap/>
              <w:overflowPunct/>
              <w:topLinePunct w:val="0"/>
              <w:autoSpaceDE/>
              <w:autoSpaceDN/>
              <w:bidi w:val="0"/>
              <w:adjustRightInd w:val="0"/>
              <w:snapToGrid w:val="0"/>
              <w:spacing w:after="0" w:line="540" w:lineRule="exact"/>
              <w:jc w:val="both"/>
              <w:textAlignment w:val="auto"/>
              <w:rPr>
                <w:rFonts w:hint="default" w:ascii="Times New Roman" w:hAnsi="Times New Roman" w:eastAsia="微软雅黑" w:cs="Times New Roman"/>
                <w:sz w:val="32"/>
                <w:szCs w:val="32"/>
              </w:rPr>
            </w:pPr>
            <w:r>
              <w:rPr>
                <w:rFonts w:hint="default" w:ascii="Times New Roman" w:hAnsi="Times New Roman" w:eastAsia="微软雅黑" w:cs="Times New Roman"/>
                <w:sz w:val="32"/>
                <w:szCs w:val="32"/>
              </w:rPr>
              <w:t>日期</w:t>
            </w:r>
            <w:r>
              <w:rPr>
                <w:rFonts w:hint="eastAsia" w:ascii="Times New Roman" w:hAnsi="Times New Roman" w:eastAsia="微软雅黑" w:cs="Times New Roman"/>
                <w:sz w:val="32"/>
                <w:szCs w:val="32"/>
                <w:lang w:eastAsia="zh-CN"/>
              </w:rPr>
              <w:t>：</w:t>
            </w:r>
            <w:r>
              <w:rPr>
                <w:rFonts w:hint="eastAsia" w:ascii="Times New Roman" w:hAnsi="Times New Roman" w:eastAsia="微软雅黑" w:cs="Times New Roman"/>
                <w:sz w:val="32"/>
                <w:szCs w:val="32"/>
                <w:lang w:val="en-US" w:eastAsia="zh-CN"/>
              </w:rPr>
              <w:t xml:space="preserve">  </w:t>
            </w:r>
            <w:r>
              <w:rPr>
                <w:rFonts w:hint="default" w:ascii="Times New Roman" w:hAnsi="Times New Roman" w:eastAsia="微软雅黑" w:cs="Times New Roman"/>
                <w:sz w:val="32"/>
                <w:szCs w:val="32"/>
              </w:rPr>
              <w:t>年</w:t>
            </w:r>
            <w:r>
              <w:rPr>
                <w:rFonts w:hint="default" w:ascii="Times New Roman" w:hAnsi="Times New Roman" w:eastAsia="微软雅黑" w:cs="Times New Roman"/>
                <w:sz w:val="32"/>
                <w:szCs w:val="32"/>
                <w:lang w:val="en-US" w:eastAsia="zh-CN"/>
              </w:rPr>
              <w:t xml:space="preserve"> </w:t>
            </w:r>
            <w:r>
              <w:rPr>
                <w:rFonts w:hint="default" w:ascii="Times New Roman" w:hAnsi="Times New Roman" w:eastAsia="微软雅黑" w:cs="Times New Roman"/>
                <w:sz w:val="32"/>
                <w:szCs w:val="32"/>
              </w:rPr>
              <w:t xml:space="preserve"> 月 </w:t>
            </w:r>
            <w:r>
              <w:rPr>
                <w:rFonts w:hint="eastAsia" w:ascii="Times New Roman" w:hAnsi="Times New Roman" w:eastAsia="微软雅黑" w:cs="Times New Roman"/>
                <w:sz w:val="32"/>
                <w:szCs w:val="32"/>
                <w:lang w:val="en-US" w:eastAsia="zh-CN"/>
              </w:rPr>
              <w:t xml:space="preserve"> </w:t>
            </w:r>
            <w:r>
              <w:rPr>
                <w:rFonts w:hint="default" w:ascii="Times New Roman" w:hAnsi="Times New Roman" w:eastAsia="微软雅黑" w:cs="Times New Roman"/>
                <w:sz w:val="32"/>
                <w:szCs w:val="32"/>
              </w:rPr>
              <w:t>日</w:t>
            </w:r>
          </w:p>
        </w:tc>
      </w:tr>
      <w:tr w14:paraId="63F83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atLeast"/>
          <w:jc w:val="center"/>
        </w:trPr>
        <w:tc>
          <w:tcPr>
            <w:tcW w:w="9354" w:type="dxa"/>
            <w:gridSpan w:val="3"/>
            <w:noWrap w:val="0"/>
            <w:vAlign w:val="top"/>
          </w:tcPr>
          <w:p w14:paraId="4DEF8F52">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eastAsia" w:ascii="Times New Roman" w:hAnsi="Times New Roman" w:eastAsia="微软雅黑" w:cs="Times New Roman"/>
                <w:sz w:val="32"/>
                <w:szCs w:val="32"/>
                <w:lang w:eastAsia="zh-CN"/>
              </w:rPr>
            </w:pPr>
            <w:r>
              <w:rPr>
                <w:rFonts w:hint="eastAsia" w:ascii="Times New Roman" w:hAnsi="Times New Roman" w:eastAsia="微软雅黑" w:cs="Times New Roman"/>
                <w:sz w:val="32"/>
                <w:szCs w:val="32"/>
                <w:lang w:eastAsia="zh-CN"/>
              </w:rPr>
              <w:t>第一师阿拉尔市</w:t>
            </w:r>
            <w:r>
              <w:rPr>
                <w:rFonts w:hint="eastAsia" w:ascii="Times New Roman" w:hAnsi="Times New Roman" w:eastAsia="微软雅黑" w:cs="Times New Roman"/>
                <w:sz w:val="32"/>
                <w:szCs w:val="32"/>
                <w:lang w:val="en-US" w:eastAsia="zh-CN"/>
              </w:rPr>
              <w:t>园林绿化管理处</w:t>
            </w:r>
            <w:r>
              <w:rPr>
                <w:rFonts w:hint="eastAsia" w:ascii="Times New Roman" w:hAnsi="Times New Roman" w:eastAsia="微软雅黑" w:cs="Times New Roman"/>
                <w:sz w:val="32"/>
                <w:szCs w:val="32"/>
                <w:lang w:eastAsia="zh-CN"/>
              </w:rPr>
              <w:t>：</w:t>
            </w:r>
          </w:p>
          <w:p w14:paraId="3171AE5C">
            <w:pPr>
              <w:keepNext w:val="0"/>
              <w:keepLines w:val="0"/>
              <w:pageBreakBefore w:val="0"/>
              <w:widowControl/>
              <w:kinsoku/>
              <w:wordWrap/>
              <w:overflowPunct/>
              <w:topLinePunct w:val="0"/>
              <w:autoSpaceDE/>
              <w:autoSpaceDN/>
              <w:bidi w:val="0"/>
              <w:adjustRightInd w:val="0"/>
              <w:snapToGrid w:val="0"/>
              <w:spacing w:after="0" w:line="540" w:lineRule="exact"/>
              <w:ind w:firstLine="632" w:firstLineChars="200"/>
              <w:textAlignment w:val="auto"/>
              <w:rPr>
                <w:rFonts w:hint="eastAsia" w:ascii="Times New Roman" w:hAnsi="Times New Roman" w:eastAsia="微软雅黑" w:cs="Times New Roman"/>
                <w:sz w:val="32"/>
                <w:szCs w:val="32"/>
                <w:lang w:val="en-US" w:eastAsia="zh-CN"/>
              </w:rPr>
            </w:pPr>
            <w:r>
              <w:rPr>
                <w:rFonts w:hint="eastAsia" w:ascii="Times New Roman" w:hAnsi="Times New Roman" w:eastAsia="微软雅黑" w:cs="Times New Roman"/>
                <w:sz w:val="32"/>
                <w:szCs w:val="32"/>
                <w:lang w:val="en-US" w:eastAsia="zh-CN"/>
              </w:rPr>
              <w:t>根据《一师城许决字〔202X〕第Y00XX号》许可</w:t>
            </w:r>
            <w:r>
              <w:rPr>
                <w:rFonts w:hint="eastAsia" w:ascii="方正仿宋_GB2312" w:hAnsi="方正仿宋_GB2312" w:eastAsia="方正仿宋_GB2312" w:cs="方正仿宋_GB2312"/>
                <w:spacing w:val="31"/>
                <w:sz w:val="32"/>
                <w:szCs w:val="32"/>
                <w:lang w:val="en-US" w:eastAsia="zh-CN"/>
              </w:rPr>
              <w:t>，</w:t>
            </w:r>
            <w:r>
              <w:rPr>
                <w:rFonts w:hint="eastAsia" w:ascii="Times New Roman" w:hAnsi="Times New Roman" w:eastAsia="微软雅黑" w:cs="Times New Roman"/>
                <w:sz w:val="32"/>
                <w:szCs w:val="32"/>
                <w:lang w:val="en-US" w:eastAsia="zh-CN"/>
              </w:rPr>
              <w:t>我单位</w:t>
            </w:r>
          </w:p>
          <w:p w14:paraId="4D305EC2">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eastAsia" w:ascii="Times New Roman" w:hAnsi="Times New Roman" w:eastAsia="微软雅黑" w:cs="Times New Roman"/>
                <w:sz w:val="32"/>
                <w:szCs w:val="32"/>
                <w:lang w:val="en-US" w:eastAsia="zh-CN"/>
              </w:rPr>
            </w:pPr>
            <w:r>
              <w:rPr>
                <w:rFonts w:hint="eastAsia" w:ascii="Times New Roman" w:hAnsi="Times New Roman" w:eastAsia="微软雅黑" w:cs="Times New Roman"/>
                <w:sz w:val="32"/>
                <w:szCs w:val="32"/>
                <w:lang w:val="en-US" w:eastAsia="zh-CN"/>
              </w:rPr>
              <w:t>于</w:t>
            </w:r>
            <w:r>
              <w:rPr>
                <w:rFonts w:hint="eastAsia" w:ascii="Times New Roman" w:hAnsi="Times New Roman" w:eastAsia="微软雅黑" w:cs="Times New Roman"/>
                <w:sz w:val="32"/>
                <w:szCs w:val="32"/>
                <w:u w:val="single"/>
                <w:lang w:val="en-US" w:eastAsia="zh-CN"/>
              </w:rPr>
              <w:t xml:space="preserve"> XX路XX区域</w:t>
            </w:r>
            <w:r>
              <w:rPr>
                <w:rFonts w:hint="eastAsia" w:ascii="Times New Roman" w:hAnsi="Times New Roman" w:eastAsia="微软雅黑" w:cs="Times New Roman"/>
                <w:sz w:val="32"/>
                <w:szCs w:val="32"/>
                <w:u w:val="none"/>
                <w:lang w:val="en-US" w:eastAsia="zh-CN"/>
              </w:rPr>
              <w:t>临时</w:t>
            </w:r>
            <w:r>
              <w:rPr>
                <w:rFonts w:hint="eastAsia" w:ascii="Times New Roman" w:hAnsi="Times New Roman" w:eastAsia="微软雅黑" w:cs="Times New Roman"/>
                <w:sz w:val="32"/>
                <w:szCs w:val="32"/>
                <w:lang w:val="en-US" w:eastAsia="zh-CN"/>
              </w:rPr>
              <w:t>占绿施工工作已完成，现场绿化已恢复到位，现申请进行现场验收。</w:t>
            </w:r>
          </w:p>
          <w:p w14:paraId="4C88A44D">
            <w:pPr>
              <w:keepNext w:val="0"/>
              <w:keepLines w:val="0"/>
              <w:pageBreakBefore w:val="0"/>
              <w:widowControl/>
              <w:kinsoku/>
              <w:wordWrap/>
              <w:overflowPunct/>
              <w:topLinePunct w:val="0"/>
              <w:autoSpaceDE/>
              <w:autoSpaceDN/>
              <w:bidi w:val="0"/>
              <w:adjustRightInd w:val="0"/>
              <w:snapToGrid w:val="0"/>
              <w:spacing w:after="0" w:line="540" w:lineRule="exact"/>
              <w:ind w:firstLine="632" w:firstLineChars="200"/>
              <w:textAlignment w:val="auto"/>
              <w:rPr>
                <w:rFonts w:hint="eastAsia" w:ascii="Times New Roman" w:hAnsi="Times New Roman" w:eastAsia="微软雅黑" w:cs="Times New Roman"/>
                <w:sz w:val="32"/>
                <w:szCs w:val="32"/>
                <w:lang w:val="en-US" w:eastAsia="zh-CN"/>
              </w:rPr>
            </w:pPr>
            <w:r>
              <w:rPr>
                <w:rFonts w:hint="eastAsia" w:ascii="Times New Roman" w:hAnsi="Times New Roman" w:eastAsia="微软雅黑" w:cs="Times New Roman"/>
                <w:sz w:val="32"/>
                <w:szCs w:val="32"/>
                <w:lang w:val="en-US" w:eastAsia="zh-CN"/>
              </w:rPr>
              <w:t>特此申请。</w:t>
            </w:r>
          </w:p>
          <w:p w14:paraId="398D983F">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eastAsia" w:ascii="Times New Roman" w:hAnsi="Times New Roman" w:eastAsia="微软雅黑" w:cs="Times New Roman"/>
                <w:sz w:val="32"/>
                <w:szCs w:val="32"/>
                <w:lang w:val="en-US" w:eastAsia="zh-CN"/>
              </w:rPr>
            </w:pPr>
          </w:p>
          <w:p w14:paraId="0FCF9D87">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eastAsia" w:ascii="Times New Roman" w:hAnsi="Times New Roman" w:eastAsia="微软雅黑" w:cs="Times New Roman"/>
                <w:sz w:val="32"/>
                <w:szCs w:val="32"/>
                <w:lang w:val="en-US" w:eastAsia="zh-CN"/>
              </w:rPr>
            </w:pPr>
          </w:p>
          <w:p w14:paraId="028BCC2C">
            <w:pPr>
              <w:keepNext w:val="0"/>
              <w:keepLines w:val="0"/>
              <w:pageBreakBefore w:val="0"/>
              <w:widowControl/>
              <w:kinsoku/>
              <w:wordWrap/>
              <w:overflowPunct/>
              <w:topLinePunct w:val="0"/>
              <w:autoSpaceDE/>
              <w:autoSpaceDN/>
              <w:bidi w:val="0"/>
              <w:adjustRightInd w:val="0"/>
              <w:snapToGrid w:val="0"/>
              <w:spacing w:after="0" w:line="540" w:lineRule="exact"/>
              <w:ind w:firstLine="6004" w:firstLineChars="1900"/>
              <w:textAlignment w:val="auto"/>
              <w:rPr>
                <w:rFonts w:hint="eastAsia" w:ascii="Times New Roman" w:hAnsi="Times New Roman" w:eastAsia="微软雅黑" w:cs="Times New Roman"/>
                <w:sz w:val="32"/>
                <w:szCs w:val="32"/>
                <w:lang w:val="en-US" w:eastAsia="zh-CN"/>
              </w:rPr>
            </w:pPr>
            <w:r>
              <w:rPr>
                <w:rFonts w:hint="eastAsia" w:ascii="Times New Roman" w:hAnsi="Times New Roman" w:eastAsia="微软雅黑" w:cs="Times New Roman"/>
                <w:sz w:val="32"/>
                <w:szCs w:val="32"/>
                <w:lang w:val="en-US" w:eastAsia="zh-CN"/>
              </w:rPr>
              <w:t>单位名称</w:t>
            </w:r>
          </w:p>
          <w:p w14:paraId="2152C5BC">
            <w:pPr>
              <w:keepNext w:val="0"/>
              <w:keepLines w:val="0"/>
              <w:pageBreakBefore w:val="0"/>
              <w:widowControl/>
              <w:kinsoku/>
              <w:wordWrap/>
              <w:overflowPunct/>
              <w:topLinePunct w:val="0"/>
              <w:autoSpaceDE/>
              <w:autoSpaceDN/>
              <w:bidi w:val="0"/>
              <w:adjustRightInd w:val="0"/>
              <w:snapToGrid w:val="0"/>
              <w:spacing w:after="0" w:line="540" w:lineRule="exact"/>
              <w:ind w:firstLine="6004" w:firstLineChars="1900"/>
              <w:textAlignment w:val="auto"/>
              <w:rPr>
                <w:rFonts w:hint="default" w:ascii="Times New Roman" w:hAnsi="Times New Roman" w:eastAsia="微软雅黑" w:cs="Times New Roman"/>
                <w:sz w:val="32"/>
                <w:szCs w:val="32"/>
                <w:lang w:val="en-US" w:eastAsia="zh-CN"/>
              </w:rPr>
            </w:pPr>
            <w:r>
              <w:rPr>
                <w:rFonts w:hint="eastAsia" w:ascii="Times New Roman" w:hAnsi="Times New Roman" w:eastAsia="微软雅黑" w:cs="Times New Roman"/>
                <w:sz w:val="32"/>
                <w:szCs w:val="32"/>
                <w:lang w:val="en-US" w:eastAsia="zh-CN"/>
              </w:rPr>
              <w:t>年  月  日</w:t>
            </w:r>
          </w:p>
        </w:tc>
      </w:tr>
      <w:tr w14:paraId="3DA70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4" w:hRule="atLeast"/>
          <w:jc w:val="center"/>
        </w:trPr>
        <w:tc>
          <w:tcPr>
            <w:tcW w:w="9354" w:type="dxa"/>
            <w:gridSpan w:val="3"/>
            <w:noWrap w:val="0"/>
            <w:vAlign w:val="center"/>
          </w:tcPr>
          <w:p w14:paraId="0A6C0DC6">
            <w:pPr>
              <w:keepNext w:val="0"/>
              <w:keepLines w:val="0"/>
              <w:pageBreakBefore w:val="0"/>
              <w:widowControl/>
              <w:kinsoku/>
              <w:wordWrap/>
              <w:overflowPunct/>
              <w:topLinePunct w:val="0"/>
              <w:autoSpaceDE/>
              <w:autoSpaceDN/>
              <w:bidi w:val="0"/>
              <w:adjustRightInd w:val="0"/>
              <w:snapToGrid w:val="0"/>
              <w:spacing w:after="0" w:line="540" w:lineRule="exact"/>
              <w:jc w:val="left"/>
              <w:textAlignment w:val="auto"/>
              <w:rPr>
                <w:rFonts w:hint="default" w:ascii="Times New Roman" w:hAnsi="Times New Roman" w:eastAsia="微软雅黑" w:cs="Times New Roman"/>
                <w:sz w:val="32"/>
                <w:szCs w:val="32"/>
                <w:lang w:val="en-US" w:eastAsia="zh-CN"/>
              </w:rPr>
            </w:pPr>
            <w:r>
              <w:rPr>
                <w:rFonts w:hint="eastAsia" w:ascii="Times New Roman" w:hAnsi="Times New Roman" w:eastAsia="微软雅黑" w:cs="Times New Roman"/>
                <w:sz w:val="32"/>
                <w:szCs w:val="32"/>
                <w:lang w:val="en-US" w:eastAsia="zh-CN"/>
              </w:rPr>
              <w:t>现场验收合格三方签字并盖章确认：</w:t>
            </w:r>
          </w:p>
        </w:tc>
      </w:tr>
      <w:tr w14:paraId="26474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3118" w:type="dxa"/>
            <w:noWrap w:val="0"/>
            <w:vAlign w:val="center"/>
          </w:tcPr>
          <w:p w14:paraId="38A18878">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default" w:ascii="Times New Roman" w:hAnsi="Times New Roman" w:eastAsia="微软雅黑" w:cs="Times New Roman"/>
                <w:sz w:val="32"/>
                <w:szCs w:val="32"/>
              </w:rPr>
            </w:pPr>
            <w:r>
              <w:rPr>
                <w:rFonts w:hint="eastAsia" w:ascii="Times New Roman" w:hAnsi="Times New Roman" w:eastAsia="微软雅黑" w:cs="Times New Roman"/>
                <w:sz w:val="32"/>
                <w:szCs w:val="32"/>
                <w:lang w:eastAsia="zh-CN"/>
              </w:rPr>
              <w:t>申请</w:t>
            </w:r>
            <w:r>
              <w:rPr>
                <w:rFonts w:hint="default" w:ascii="Times New Roman" w:hAnsi="Times New Roman" w:eastAsia="微软雅黑" w:cs="Times New Roman"/>
                <w:sz w:val="32"/>
                <w:szCs w:val="32"/>
              </w:rPr>
              <w:t>单位</w:t>
            </w:r>
          </w:p>
          <w:p w14:paraId="11B667E8">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default" w:ascii="Times New Roman" w:hAnsi="Times New Roman" w:eastAsia="微软雅黑" w:cs="Times New Roman"/>
                <w:sz w:val="32"/>
                <w:szCs w:val="32"/>
              </w:rPr>
            </w:pPr>
            <w:r>
              <w:rPr>
                <w:rFonts w:hint="default" w:ascii="Times New Roman" w:hAnsi="Times New Roman" w:eastAsia="微软雅黑" w:cs="Times New Roman"/>
                <w:sz w:val="32"/>
                <w:szCs w:val="32"/>
              </w:rPr>
              <w:t>（签章）</w:t>
            </w:r>
          </w:p>
        </w:tc>
        <w:tc>
          <w:tcPr>
            <w:tcW w:w="3118" w:type="dxa"/>
            <w:noWrap w:val="0"/>
            <w:vAlign w:val="center"/>
          </w:tcPr>
          <w:p w14:paraId="59338546">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default" w:ascii="Times New Roman" w:hAnsi="Times New Roman" w:eastAsia="微软雅黑" w:cs="Times New Roman"/>
                <w:sz w:val="32"/>
                <w:szCs w:val="32"/>
              </w:rPr>
            </w:pPr>
            <w:r>
              <w:rPr>
                <w:rFonts w:hint="default" w:ascii="Times New Roman" w:hAnsi="Times New Roman" w:eastAsia="微软雅黑" w:cs="Times New Roman"/>
                <w:sz w:val="32"/>
                <w:szCs w:val="32"/>
              </w:rPr>
              <w:t>养护（工程）单位</w:t>
            </w:r>
          </w:p>
          <w:p w14:paraId="149F1027">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default" w:ascii="Times New Roman" w:hAnsi="Times New Roman" w:eastAsia="微软雅黑" w:cs="Times New Roman"/>
                <w:sz w:val="32"/>
                <w:szCs w:val="32"/>
              </w:rPr>
            </w:pPr>
            <w:r>
              <w:rPr>
                <w:rFonts w:hint="default" w:ascii="Times New Roman" w:hAnsi="Times New Roman" w:eastAsia="微软雅黑" w:cs="Times New Roman"/>
                <w:sz w:val="32"/>
                <w:szCs w:val="32"/>
              </w:rPr>
              <w:t>（签章）</w:t>
            </w:r>
          </w:p>
        </w:tc>
        <w:tc>
          <w:tcPr>
            <w:tcW w:w="3118" w:type="dxa"/>
            <w:noWrap w:val="0"/>
            <w:vAlign w:val="center"/>
          </w:tcPr>
          <w:p w14:paraId="1CADB35D">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default" w:ascii="Times New Roman" w:hAnsi="Times New Roman" w:eastAsia="微软雅黑" w:cs="Times New Roman"/>
                <w:sz w:val="32"/>
                <w:szCs w:val="32"/>
              </w:rPr>
            </w:pPr>
            <w:r>
              <w:rPr>
                <w:rFonts w:hint="default" w:ascii="Times New Roman" w:hAnsi="Times New Roman" w:eastAsia="微软雅黑" w:cs="Times New Roman"/>
                <w:sz w:val="32"/>
                <w:szCs w:val="32"/>
                <w:lang w:eastAsia="zh-CN"/>
              </w:rPr>
              <w:t>师市</w:t>
            </w:r>
            <w:r>
              <w:rPr>
                <w:rFonts w:hint="default" w:ascii="Times New Roman" w:hAnsi="Times New Roman" w:eastAsia="微软雅黑" w:cs="Times New Roman"/>
                <w:sz w:val="32"/>
                <w:szCs w:val="32"/>
              </w:rPr>
              <w:t>园林处</w:t>
            </w:r>
          </w:p>
          <w:p w14:paraId="6423647C">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default" w:ascii="Times New Roman" w:hAnsi="Times New Roman" w:eastAsia="微软雅黑" w:cs="Times New Roman"/>
                <w:sz w:val="32"/>
                <w:szCs w:val="32"/>
              </w:rPr>
            </w:pPr>
            <w:r>
              <w:rPr>
                <w:rFonts w:hint="default" w:ascii="Times New Roman" w:hAnsi="Times New Roman" w:eastAsia="微软雅黑" w:cs="Times New Roman"/>
                <w:sz w:val="32"/>
                <w:szCs w:val="32"/>
              </w:rPr>
              <w:t>（签章）</w:t>
            </w:r>
          </w:p>
        </w:tc>
      </w:tr>
      <w:tr w14:paraId="78D15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0" w:hRule="atLeast"/>
          <w:jc w:val="center"/>
        </w:trPr>
        <w:tc>
          <w:tcPr>
            <w:tcW w:w="3118" w:type="dxa"/>
            <w:noWrap w:val="0"/>
            <w:vAlign w:val="top"/>
          </w:tcPr>
          <w:p w14:paraId="114E0DA2">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default" w:ascii="Times New Roman" w:hAnsi="Times New Roman" w:eastAsia="微软雅黑" w:cs="Times New Roman"/>
                <w:sz w:val="32"/>
                <w:szCs w:val="32"/>
              </w:rPr>
            </w:pPr>
          </w:p>
          <w:p w14:paraId="58E193F9">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default" w:ascii="Times New Roman" w:hAnsi="Times New Roman" w:eastAsia="微软雅黑" w:cs="Times New Roman"/>
                <w:sz w:val="32"/>
                <w:szCs w:val="32"/>
              </w:rPr>
            </w:pPr>
          </w:p>
          <w:p w14:paraId="1A7606CF">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default" w:ascii="Times New Roman" w:hAnsi="Times New Roman" w:eastAsia="微软雅黑" w:cs="Times New Roman"/>
                <w:sz w:val="32"/>
                <w:szCs w:val="32"/>
              </w:rPr>
            </w:pPr>
          </w:p>
          <w:p w14:paraId="7E41B69E">
            <w:pPr>
              <w:keepNext w:val="0"/>
              <w:keepLines w:val="0"/>
              <w:pageBreakBefore w:val="0"/>
              <w:widowControl/>
              <w:kinsoku/>
              <w:wordWrap/>
              <w:overflowPunct/>
              <w:topLinePunct w:val="0"/>
              <w:autoSpaceDE/>
              <w:autoSpaceDN/>
              <w:bidi w:val="0"/>
              <w:adjustRightInd w:val="0"/>
              <w:snapToGrid w:val="0"/>
              <w:spacing w:after="0" w:line="540" w:lineRule="exact"/>
              <w:ind w:firstLine="632" w:firstLineChars="200"/>
              <w:textAlignment w:val="auto"/>
              <w:rPr>
                <w:rFonts w:hint="eastAsia" w:ascii="Times New Roman" w:hAnsi="Times New Roman" w:eastAsia="微软雅黑" w:cs="Times New Roman"/>
                <w:sz w:val="32"/>
                <w:szCs w:val="32"/>
                <w:lang w:eastAsia="zh-CN"/>
              </w:rPr>
            </w:pPr>
            <w:r>
              <w:rPr>
                <w:rFonts w:hint="eastAsia" w:ascii="Times New Roman" w:hAnsi="Times New Roman" w:eastAsia="微软雅黑" w:cs="Times New Roman"/>
                <w:sz w:val="32"/>
                <w:szCs w:val="32"/>
                <w:lang w:eastAsia="zh-CN"/>
              </w:rPr>
              <w:t>年</w:t>
            </w:r>
            <w:r>
              <w:rPr>
                <w:rFonts w:hint="eastAsia" w:ascii="Times New Roman" w:hAnsi="Times New Roman" w:eastAsia="微软雅黑" w:cs="Times New Roman"/>
                <w:sz w:val="32"/>
                <w:szCs w:val="32"/>
                <w:lang w:val="en-US" w:eastAsia="zh-CN"/>
              </w:rPr>
              <w:t xml:space="preserve">   </w:t>
            </w:r>
            <w:r>
              <w:rPr>
                <w:rFonts w:hint="eastAsia" w:ascii="Times New Roman" w:hAnsi="Times New Roman" w:eastAsia="微软雅黑" w:cs="Times New Roman"/>
                <w:sz w:val="32"/>
                <w:szCs w:val="32"/>
                <w:lang w:eastAsia="zh-CN"/>
              </w:rPr>
              <w:t>月</w:t>
            </w:r>
            <w:r>
              <w:rPr>
                <w:rFonts w:hint="eastAsia" w:ascii="Times New Roman" w:hAnsi="Times New Roman" w:eastAsia="微软雅黑" w:cs="Times New Roman"/>
                <w:sz w:val="32"/>
                <w:szCs w:val="32"/>
                <w:lang w:val="en-US" w:eastAsia="zh-CN"/>
              </w:rPr>
              <w:t xml:space="preserve">   </w:t>
            </w:r>
            <w:r>
              <w:rPr>
                <w:rFonts w:hint="eastAsia" w:ascii="Times New Roman" w:hAnsi="Times New Roman" w:eastAsia="微软雅黑" w:cs="Times New Roman"/>
                <w:sz w:val="32"/>
                <w:szCs w:val="32"/>
                <w:lang w:eastAsia="zh-CN"/>
              </w:rPr>
              <w:t>日</w:t>
            </w:r>
          </w:p>
        </w:tc>
        <w:tc>
          <w:tcPr>
            <w:tcW w:w="3118" w:type="dxa"/>
            <w:noWrap w:val="0"/>
            <w:vAlign w:val="top"/>
          </w:tcPr>
          <w:p w14:paraId="30B8811A">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default" w:ascii="Times New Roman" w:hAnsi="Times New Roman" w:eastAsia="微软雅黑" w:cs="Times New Roman"/>
                <w:sz w:val="32"/>
                <w:szCs w:val="32"/>
              </w:rPr>
            </w:pPr>
          </w:p>
          <w:p w14:paraId="4DA0E3D2">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default" w:ascii="Times New Roman" w:hAnsi="Times New Roman" w:eastAsia="微软雅黑" w:cs="Times New Roman"/>
                <w:sz w:val="32"/>
                <w:szCs w:val="32"/>
              </w:rPr>
            </w:pPr>
          </w:p>
          <w:p w14:paraId="0A94463D">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default" w:ascii="Times New Roman" w:hAnsi="Times New Roman" w:eastAsia="微软雅黑" w:cs="Times New Roman"/>
                <w:sz w:val="32"/>
                <w:szCs w:val="32"/>
              </w:rPr>
            </w:pPr>
          </w:p>
          <w:p w14:paraId="0A169555">
            <w:pPr>
              <w:keepNext w:val="0"/>
              <w:keepLines w:val="0"/>
              <w:pageBreakBefore w:val="0"/>
              <w:widowControl/>
              <w:kinsoku/>
              <w:wordWrap/>
              <w:overflowPunct/>
              <w:topLinePunct w:val="0"/>
              <w:autoSpaceDE/>
              <w:autoSpaceDN/>
              <w:bidi w:val="0"/>
              <w:adjustRightInd w:val="0"/>
              <w:snapToGrid w:val="0"/>
              <w:spacing w:after="0" w:line="540" w:lineRule="exact"/>
              <w:ind w:firstLine="632" w:firstLineChars="200"/>
              <w:textAlignment w:val="auto"/>
              <w:rPr>
                <w:rFonts w:hint="default" w:ascii="Times New Roman" w:hAnsi="Times New Roman" w:eastAsia="微软雅黑" w:cs="Times New Roman"/>
                <w:sz w:val="32"/>
                <w:szCs w:val="32"/>
              </w:rPr>
            </w:pPr>
            <w:r>
              <w:rPr>
                <w:rFonts w:hint="eastAsia" w:ascii="Times New Roman" w:hAnsi="Times New Roman" w:eastAsia="微软雅黑" w:cs="Times New Roman"/>
                <w:sz w:val="32"/>
                <w:szCs w:val="32"/>
                <w:lang w:eastAsia="zh-CN"/>
              </w:rPr>
              <w:t>年</w:t>
            </w:r>
            <w:r>
              <w:rPr>
                <w:rFonts w:hint="eastAsia" w:ascii="Times New Roman" w:hAnsi="Times New Roman" w:eastAsia="微软雅黑" w:cs="Times New Roman"/>
                <w:sz w:val="32"/>
                <w:szCs w:val="32"/>
                <w:lang w:val="en-US" w:eastAsia="zh-CN"/>
              </w:rPr>
              <w:t xml:space="preserve">   </w:t>
            </w:r>
            <w:r>
              <w:rPr>
                <w:rFonts w:hint="eastAsia" w:ascii="Times New Roman" w:hAnsi="Times New Roman" w:eastAsia="微软雅黑" w:cs="Times New Roman"/>
                <w:sz w:val="32"/>
                <w:szCs w:val="32"/>
                <w:lang w:eastAsia="zh-CN"/>
              </w:rPr>
              <w:t>月</w:t>
            </w:r>
            <w:r>
              <w:rPr>
                <w:rFonts w:hint="eastAsia" w:ascii="Times New Roman" w:hAnsi="Times New Roman" w:eastAsia="微软雅黑" w:cs="Times New Roman"/>
                <w:sz w:val="32"/>
                <w:szCs w:val="32"/>
                <w:lang w:val="en-US" w:eastAsia="zh-CN"/>
              </w:rPr>
              <w:t xml:space="preserve">   </w:t>
            </w:r>
            <w:r>
              <w:rPr>
                <w:rFonts w:hint="eastAsia" w:ascii="Times New Roman" w:hAnsi="Times New Roman" w:eastAsia="微软雅黑" w:cs="Times New Roman"/>
                <w:sz w:val="32"/>
                <w:szCs w:val="32"/>
                <w:lang w:eastAsia="zh-CN"/>
              </w:rPr>
              <w:t>日</w:t>
            </w:r>
          </w:p>
        </w:tc>
        <w:tc>
          <w:tcPr>
            <w:tcW w:w="3118" w:type="dxa"/>
            <w:noWrap w:val="0"/>
            <w:vAlign w:val="top"/>
          </w:tcPr>
          <w:p w14:paraId="5FE57892">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default" w:ascii="Times New Roman" w:hAnsi="Times New Roman" w:eastAsia="微软雅黑" w:cs="Times New Roman"/>
                <w:sz w:val="32"/>
                <w:szCs w:val="32"/>
              </w:rPr>
            </w:pPr>
          </w:p>
          <w:p w14:paraId="7DCA9916">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default" w:ascii="Times New Roman" w:hAnsi="Times New Roman" w:eastAsia="微软雅黑" w:cs="Times New Roman"/>
                <w:sz w:val="32"/>
                <w:szCs w:val="32"/>
              </w:rPr>
            </w:pPr>
          </w:p>
          <w:p w14:paraId="126AC7C9">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default" w:ascii="Times New Roman" w:hAnsi="Times New Roman" w:eastAsia="微软雅黑" w:cs="Times New Roman"/>
                <w:sz w:val="32"/>
                <w:szCs w:val="32"/>
              </w:rPr>
            </w:pPr>
          </w:p>
          <w:p w14:paraId="19274012">
            <w:pPr>
              <w:keepNext w:val="0"/>
              <w:keepLines w:val="0"/>
              <w:pageBreakBefore w:val="0"/>
              <w:widowControl/>
              <w:kinsoku/>
              <w:wordWrap/>
              <w:overflowPunct/>
              <w:topLinePunct w:val="0"/>
              <w:autoSpaceDE/>
              <w:autoSpaceDN/>
              <w:bidi w:val="0"/>
              <w:adjustRightInd w:val="0"/>
              <w:snapToGrid w:val="0"/>
              <w:spacing w:after="0" w:line="540" w:lineRule="exact"/>
              <w:ind w:firstLine="632" w:firstLineChars="200"/>
              <w:textAlignment w:val="auto"/>
              <w:rPr>
                <w:rFonts w:hint="default" w:ascii="Times New Roman" w:hAnsi="Times New Roman" w:eastAsia="微软雅黑" w:cs="Times New Roman"/>
                <w:sz w:val="32"/>
                <w:szCs w:val="32"/>
              </w:rPr>
            </w:pPr>
            <w:r>
              <w:rPr>
                <w:rFonts w:hint="eastAsia" w:ascii="Times New Roman" w:hAnsi="Times New Roman" w:eastAsia="微软雅黑" w:cs="Times New Roman"/>
                <w:sz w:val="32"/>
                <w:szCs w:val="32"/>
                <w:lang w:eastAsia="zh-CN"/>
              </w:rPr>
              <w:t>年</w:t>
            </w:r>
            <w:r>
              <w:rPr>
                <w:rFonts w:hint="eastAsia" w:ascii="Times New Roman" w:hAnsi="Times New Roman" w:eastAsia="微软雅黑" w:cs="Times New Roman"/>
                <w:sz w:val="32"/>
                <w:szCs w:val="32"/>
                <w:lang w:val="en-US" w:eastAsia="zh-CN"/>
              </w:rPr>
              <w:t xml:space="preserve">   </w:t>
            </w:r>
            <w:r>
              <w:rPr>
                <w:rFonts w:hint="eastAsia" w:ascii="Times New Roman" w:hAnsi="Times New Roman" w:eastAsia="微软雅黑" w:cs="Times New Roman"/>
                <w:sz w:val="32"/>
                <w:szCs w:val="32"/>
                <w:lang w:eastAsia="zh-CN"/>
              </w:rPr>
              <w:t>月</w:t>
            </w:r>
            <w:r>
              <w:rPr>
                <w:rFonts w:hint="eastAsia" w:ascii="Times New Roman" w:hAnsi="Times New Roman" w:eastAsia="微软雅黑" w:cs="Times New Roman"/>
                <w:sz w:val="32"/>
                <w:szCs w:val="32"/>
                <w:lang w:val="en-US" w:eastAsia="zh-CN"/>
              </w:rPr>
              <w:t xml:space="preserve">   </w:t>
            </w:r>
            <w:r>
              <w:rPr>
                <w:rFonts w:hint="eastAsia" w:ascii="Times New Roman" w:hAnsi="Times New Roman" w:eastAsia="微软雅黑" w:cs="Times New Roman"/>
                <w:sz w:val="32"/>
                <w:szCs w:val="32"/>
                <w:lang w:eastAsia="zh-CN"/>
              </w:rPr>
              <w:t>日</w:t>
            </w:r>
          </w:p>
        </w:tc>
      </w:tr>
    </w:tbl>
    <w:p w14:paraId="1CB235B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b w:val="0"/>
          <w:bCs/>
          <w:spacing w:val="20"/>
          <w:kern w:val="0"/>
          <w:sz w:val="44"/>
          <w:szCs w:val="44"/>
          <w:lang w:val="en-US" w:eastAsia="zh-CN"/>
        </w:rPr>
      </w:pPr>
    </w:p>
    <w:sectPr>
      <w:footerReference r:id="rId3" w:type="default"/>
      <w:footerReference r:id="rId4" w:type="even"/>
      <w:pgSz w:w="11906" w:h="16838"/>
      <w:pgMar w:top="2098" w:right="1474" w:bottom="1984" w:left="1587" w:header="2098" w:footer="1417"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B575C8-4E50-4CDC-8767-2F4AB2EC7B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E1EF063-AFC9-4956-92E9-DED6CE17E7AA}"/>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DF729E03-A38E-4DD1-8FD3-4FB577789F03}"/>
  </w:font>
  <w:font w:name="楷体_GB2312">
    <w:panose1 w:val="02010609030101010101"/>
    <w:charset w:val="86"/>
    <w:family w:val="auto"/>
    <w:pitch w:val="default"/>
    <w:sig w:usb0="00000001" w:usb1="080E0000" w:usb2="00000000" w:usb3="00000000" w:csb0="00040000" w:csb1="00000000"/>
    <w:embedRegular r:id="rId4" w:fontKey="{B711E32B-1E63-4B8F-B38B-806FB6B908CA}"/>
  </w:font>
  <w:font w:name="微软雅黑">
    <w:panose1 w:val="020B0503020204020204"/>
    <w:charset w:val="86"/>
    <w:family w:val="auto"/>
    <w:pitch w:val="default"/>
    <w:sig w:usb0="80000287" w:usb1="2ACF3C50" w:usb2="00000016" w:usb3="00000000" w:csb0="0004001F" w:csb1="00000000"/>
    <w:embedRegular r:id="rId5" w:fontKey="{ADCA8B0B-6E43-48C6-8F83-1DE1D46BE2D5}"/>
  </w:font>
  <w:font w:name="方正仿宋_GB2312">
    <w:panose1 w:val="02000000000000000000"/>
    <w:charset w:val="86"/>
    <w:family w:val="auto"/>
    <w:pitch w:val="default"/>
    <w:sig w:usb0="A00002BF" w:usb1="184F6CFA" w:usb2="00000012" w:usb3="00000000" w:csb0="00040001" w:csb1="00000000"/>
    <w:embedRegular r:id="rId6" w:fontKey="{DFA008E6-1711-44E1-928E-721BD74FAC49}"/>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42772">
    <w:pPr>
      <w:pStyle w:val="11"/>
      <w:wordWrap w:val="0"/>
      <w:jc w:val="right"/>
      <w:rPr>
        <w:rFonts w:ascii="宋体" w:hAnsi="宋体" w:eastAsia="宋体"/>
        <w:sz w:val="28"/>
        <w:szCs w:val="28"/>
      </w:rPr>
    </w:pPr>
    <w:r>
      <w:rPr>
        <w:rFonts w:hint="eastAsia" w:ascii="宋体" w:hAnsi="宋体" w:eastAsia="宋体"/>
        <w:kern w:val="0"/>
        <w:sz w:val="28"/>
        <w:szCs w:val="28"/>
      </w:rPr>
      <w:t xml:space="preserve">— </w:t>
    </w:r>
    <w:r>
      <w:rPr>
        <w:rFonts w:hint="eastAsia" w:ascii="宋体" w:hAnsi="宋体" w:eastAsia="宋体"/>
        <w:kern w:val="0"/>
        <w:sz w:val="28"/>
        <w:szCs w:val="28"/>
      </w:rPr>
      <w:fldChar w:fldCharType="begin"/>
    </w:r>
    <w:r>
      <w:rPr>
        <w:rFonts w:hint="eastAsia" w:ascii="宋体" w:hAnsi="宋体" w:eastAsia="宋体"/>
        <w:kern w:val="0"/>
        <w:sz w:val="28"/>
        <w:szCs w:val="28"/>
      </w:rPr>
      <w:instrText xml:space="preserve"> PAGE </w:instrText>
    </w:r>
    <w:r>
      <w:rPr>
        <w:rFonts w:hint="eastAsia" w:ascii="宋体" w:hAnsi="宋体" w:eastAsia="宋体"/>
        <w:kern w:val="0"/>
        <w:sz w:val="28"/>
        <w:szCs w:val="28"/>
      </w:rPr>
      <w:fldChar w:fldCharType="separate"/>
    </w:r>
    <w:r>
      <w:rPr>
        <w:rFonts w:ascii="宋体" w:hAnsi="宋体" w:eastAsia="宋体"/>
        <w:kern w:val="0"/>
        <w:sz w:val="28"/>
        <w:szCs w:val="28"/>
      </w:rPr>
      <w:t>33</w:t>
    </w:r>
    <w:r>
      <w:rPr>
        <w:rFonts w:hint="eastAsia" w:ascii="宋体" w:hAnsi="宋体" w:eastAsia="宋体"/>
        <w:kern w:val="0"/>
        <w:sz w:val="28"/>
        <w:szCs w:val="28"/>
      </w:rPr>
      <w:fldChar w:fldCharType="end"/>
    </w:r>
    <w:r>
      <w:rPr>
        <w:rFonts w:hint="eastAsia" w:ascii="宋体" w:hAnsi="宋体" w:eastAsia="宋体"/>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47F64">
    <w:pPr>
      <w:pStyle w:val="11"/>
      <w:ind w:firstLine="280" w:firstLineChars="100"/>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Style w:val="20"/>
        <w:rFonts w:hint="eastAsia" w:ascii="宋体" w:hAnsi="宋体" w:eastAsia="宋体"/>
        <w:sz w:val="28"/>
        <w:szCs w:val="28"/>
      </w:rPr>
      <w:instrText xml:space="preserve"> PAGE </w:instrText>
    </w:r>
    <w:r>
      <w:rPr>
        <w:rFonts w:hint="eastAsia" w:ascii="宋体" w:hAnsi="宋体" w:eastAsia="宋体"/>
        <w:sz w:val="28"/>
        <w:szCs w:val="28"/>
      </w:rPr>
      <w:fldChar w:fldCharType="separate"/>
    </w:r>
    <w:r>
      <w:rPr>
        <w:rStyle w:val="20"/>
        <w:rFonts w:ascii="宋体" w:hAnsi="宋体" w:eastAsia="宋体"/>
        <w:sz w:val="28"/>
        <w:szCs w:val="28"/>
      </w:rPr>
      <w:t>32</w:t>
    </w:r>
    <w:r>
      <w:rPr>
        <w:rFonts w:hint="eastAsia" w:ascii="宋体" w:hAnsi="宋体" w:eastAsia="宋体"/>
        <w:sz w:val="28"/>
        <w:szCs w:val="28"/>
      </w:rPr>
      <w:fldChar w:fldCharType="end"/>
    </w:r>
    <w:r>
      <w:rPr>
        <w:rStyle w:val="20"/>
        <w:rFonts w:hint="eastAsia" w:ascii="宋体" w:hAnsi="宋体" w:eastAsia="宋体"/>
        <w:sz w:val="28"/>
        <w:szCs w:val="28"/>
      </w:rPr>
      <w:t xml:space="preserve"> </w:t>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0696DD2D-5346-486F-99BF-B59CB68B117A}" w:val="bJlxyF=Wj9MigV7N2CLrYdfUaQwvcp84OEHznkBDtqRKASI0m61Gu5eXhTZ/os+P3"/>
    <w:docVar w:name="{124A3FF9-332F-4D24-A54F-A52BC40E830E}" w:val="bJlxyF=Wj9MigV7N2CLrYdfUaQwvcp84OEHznkBDtqRKASI0m61Gu5eXhTZ/os+P3"/>
    <w:docVar w:name="{286D1332-0AD2-4F97-A75D-4DCAC06C1329}" w:val="bJlxyF=Wj9MigV7N2CLrYdfUaQwvcp84OEHznkBDtqRKASI0m61Gu5eXhTZ/os+P3"/>
    <w:docVar w:name="{28B1C689-1181-4575-B360-90CAE3BDD6F5}" w:val="bJlxyF=Wj9MigV7N2CLrYdfUaQwvcp84OEHznkBDtqRKASI0m61Gu5eXhTZ/os+P3"/>
    <w:docVar w:name="{560D6C7C-21D8-401F-87C0-4264FB7F8C41}" w:val="bJlxyF=Wj9MigV7N2CLrYdfUaQwvcp84OEHznkBDtqRKASI0m61Gu5eXhTZ/os+P3"/>
    <w:docVar w:name="{5B58D117-0260-4F59-915A-42EBF12608FF}" w:val="bJlxyF=Wj9MigV7N2CLrYdfUaQwvcp84OEHznkBDtqRKASI0m61Gu5eXhTZ/os+P3"/>
    <w:docVar w:name="{9409F78F-35C3-4D63-A2E3-63C941674360}" w:val="bJlxyF=Wj9MigV7N2CLrYdfUaQwvcp84OEHznkBDtqRKASI0m61Gu5eXhTZ/os+P3"/>
    <w:docVar w:name="{B2A1FF43-A52D-4381-876A-03EA4225A279}" w:val="bJlxyF=Wj9MigV7N2CLrYdfUaQwvcp84OEHznkBDtqRKASI0m61Gu5eXhTZ/os+P3"/>
    <w:docVar w:name="{CF8D8EA8-19C1-4C9C-B72A-D47C8D233021}" w:val="bJlxyF=Wj9MigV7N2CLrYdfUaQwvcp84OEHznkBDtqRKASI0m61Gu5eXhTZ/os+P3"/>
    <w:docVar w:name="{F281AC85-C577-43F1-B6D9-16D3CE6C237D}" w:val="bJlxyF=Wj9MigV7N2CLrYdfUaQwvcp84OEHznkBDtqRKASI0m61Gu5eXhTZ/os+P3"/>
    <w:docVar w:name="DocumentID" w:val="{11F5C713-AFBD-4FE3-97A8-F3739084CEA8}"/>
  </w:docVars>
  <w:rsids>
    <w:rsidRoot w:val="00EA216F"/>
    <w:rsid w:val="00001F8D"/>
    <w:rsid w:val="0000295B"/>
    <w:rsid w:val="0001574E"/>
    <w:rsid w:val="000235D7"/>
    <w:rsid w:val="00023791"/>
    <w:rsid w:val="00025E3B"/>
    <w:rsid w:val="0003541D"/>
    <w:rsid w:val="00044008"/>
    <w:rsid w:val="000446A7"/>
    <w:rsid w:val="000451B1"/>
    <w:rsid w:val="00050C57"/>
    <w:rsid w:val="00054127"/>
    <w:rsid w:val="0006573E"/>
    <w:rsid w:val="000706DB"/>
    <w:rsid w:val="0007133C"/>
    <w:rsid w:val="000756E3"/>
    <w:rsid w:val="0008321D"/>
    <w:rsid w:val="00094874"/>
    <w:rsid w:val="000A0D4E"/>
    <w:rsid w:val="000A1BA6"/>
    <w:rsid w:val="000A6D3C"/>
    <w:rsid w:val="000B5EF1"/>
    <w:rsid w:val="000C274F"/>
    <w:rsid w:val="000C4CC1"/>
    <w:rsid w:val="000C7D97"/>
    <w:rsid w:val="000D1BE7"/>
    <w:rsid w:val="000D3046"/>
    <w:rsid w:val="000E192C"/>
    <w:rsid w:val="000E3F81"/>
    <w:rsid w:val="000E6402"/>
    <w:rsid w:val="000E78F6"/>
    <w:rsid w:val="000F027D"/>
    <w:rsid w:val="000F30CD"/>
    <w:rsid w:val="000F7915"/>
    <w:rsid w:val="00103421"/>
    <w:rsid w:val="00112DCC"/>
    <w:rsid w:val="00115F06"/>
    <w:rsid w:val="001173DB"/>
    <w:rsid w:val="001221C7"/>
    <w:rsid w:val="001308FD"/>
    <w:rsid w:val="00130F75"/>
    <w:rsid w:val="00150C45"/>
    <w:rsid w:val="00152130"/>
    <w:rsid w:val="00152622"/>
    <w:rsid w:val="00165324"/>
    <w:rsid w:val="001706C7"/>
    <w:rsid w:val="00172407"/>
    <w:rsid w:val="001760A8"/>
    <w:rsid w:val="0017616D"/>
    <w:rsid w:val="00177117"/>
    <w:rsid w:val="00184DB7"/>
    <w:rsid w:val="00187624"/>
    <w:rsid w:val="0019623B"/>
    <w:rsid w:val="001973F3"/>
    <w:rsid w:val="001A2399"/>
    <w:rsid w:val="001A3D13"/>
    <w:rsid w:val="001B1021"/>
    <w:rsid w:val="001B47E0"/>
    <w:rsid w:val="001C5888"/>
    <w:rsid w:val="001C681E"/>
    <w:rsid w:val="001D40CE"/>
    <w:rsid w:val="001D7714"/>
    <w:rsid w:val="001E789C"/>
    <w:rsid w:val="001F52B1"/>
    <w:rsid w:val="001F6E83"/>
    <w:rsid w:val="00203F03"/>
    <w:rsid w:val="00207027"/>
    <w:rsid w:val="00207193"/>
    <w:rsid w:val="00207258"/>
    <w:rsid w:val="00207F41"/>
    <w:rsid w:val="002145E1"/>
    <w:rsid w:val="002421CC"/>
    <w:rsid w:val="00242EF2"/>
    <w:rsid w:val="002535A7"/>
    <w:rsid w:val="0025581B"/>
    <w:rsid w:val="00273BB6"/>
    <w:rsid w:val="0027433E"/>
    <w:rsid w:val="00276A05"/>
    <w:rsid w:val="00280C33"/>
    <w:rsid w:val="00284FFF"/>
    <w:rsid w:val="0029044F"/>
    <w:rsid w:val="002A03C7"/>
    <w:rsid w:val="002A1F82"/>
    <w:rsid w:val="002B702C"/>
    <w:rsid w:val="002B7C09"/>
    <w:rsid w:val="002C0AA9"/>
    <w:rsid w:val="002C2AAC"/>
    <w:rsid w:val="002D1E27"/>
    <w:rsid w:val="002D5C25"/>
    <w:rsid w:val="002E30BB"/>
    <w:rsid w:val="002F1A03"/>
    <w:rsid w:val="002F7262"/>
    <w:rsid w:val="003044FD"/>
    <w:rsid w:val="0030499C"/>
    <w:rsid w:val="00306124"/>
    <w:rsid w:val="00314835"/>
    <w:rsid w:val="003221D9"/>
    <w:rsid w:val="00333473"/>
    <w:rsid w:val="003339A1"/>
    <w:rsid w:val="00340030"/>
    <w:rsid w:val="00353521"/>
    <w:rsid w:val="003776FF"/>
    <w:rsid w:val="00385F88"/>
    <w:rsid w:val="00392119"/>
    <w:rsid w:val="003954B9"/>
    <w:rsid w:val="003963FA"/>
    <w:rsid w:val="00396F23"/>
    <w:rsid w:val="003A37BB"/>
    <w:rsid w:val="003A4326"/>
    <w:rsid w:val="003B3639"/>
    <w:rsid w:val="003B6C0F"/>
    <w:rsid w:val="003C0A83"/>
    <w:rsid w:val="003C3AA6"/>
    <w:rsid w:val="003C737D"/>
    <w:rsid w:val="003D2D36"/>
    <w:rsid w:val="003D5F56"/>
    <w:rsid w:val="003E30E5"/>
    <w:rsid w:val="003F5120"/>
    <w:rsid w:val="003F51D7"/>
    <w:rsid w:val="004011AF"/>
    <w:rsid w:val="004038F5"/>
    <w:rsid w:val="0040522D"/>
    <w:rsid w:val="00411D4D"/>
    <w:rsid w:val="00416BE5"/>
    <w:rsid w:val="004216DC"/>
    <w:rsid w:val="00426892"/>
    <w:rsid w:val="00430009"/>
    <w:rsid w:val="004374F7"/>
    <w:rsid w:val="00442B53"/>
    <w:rsid w:val="00451A44"/>
    <w:rsid w:val="004549A3"/>
    <w:rsid w:val="00455238"/>
    <w:rsid w:val="00455B26"/>
    <w:rsid w:val="0046176E"/>
    <w:rsid w:val="0046411B"/>
    <w:rsid w:val="004670C5"/>
    <w:rsid w:val="00471B32"/>
    <w:rsid w:val="00474D9E"/>
    <w:rsid w:val="00476ECF"/>
    <w:rsid w:val="00477996"/>
    <w:rsid w:val="004844FD"/>
    <w:rsid w:val="00486AED"/>
    <w:rsid w:val="00486CB2"/>
    <w:rsid w:val="004A0022"/>
    <w:rsid w:val="004A5F00"/>
    <w:rsid w:val="004A7AA0"/>
    <w:rsid w:val="004B2287"/>
    <w:rsid w:val="004B57F3"/>
    <w:rsid w:val="004B7245"/>
    <w:rsid w:val="004C3825"/>
    <w:rsid w:val="004C5F11"/>
    <w:rsid w:val="004D2841"/>
    <w:rsid w:val="004D2F79"/>
    <w:rsid w:val="004D7532"/>
    <w:rsid w:val="004E4774"/>
    <w:rsid w:val="004F42BA"/>
    <w:rsid w:val="00507ACA"/>
    <w:rsid w:val="00511E51"/>
    <w:rsid w:val="00515B22"/>
    <w:rsid w:val="00524B07"/>
    <w:rsid w:val="00524FBC"/>
    <w:rsid w:val="00530267"/>
    <w:rsid w:val="005402E3"/>
    <w:rsid w:val="005420FC"/>
    <w:rsid w:val="00551F6D"/>
    <w:rsid w:val="00552C98"/>
    <w:rsid w:val="0055446B"/>
    <w:rsid w:val="00555830"/>
    <w:rsid w:val="005577B7"/>
    <w:rsid w:val="00560988"/>
    <w:rsid w:val="00561841"/>
    <w:rsid w:val="0056697E"/>
    <w:rsid w:val="00583D71"/>
    <w:rsid w:val="00587CA3"/>
    <w:rsid w:val="0059592C"/>
    <w:rsid w:val="005A02A2"/>
    <w:rsid w:val="005A4DD5"/>
    <w:rsid w:val="005B2B33"/>
    <w:rsid w:val="005B494F"/>
    <w:rsid w:val="005B6222"/>
    <w:rsid w:val="005B7051"/>
    <w:rsid w:val="005B706D"/>
    <w:rsid w:val="005C0BC8"/>
    <w:rsid w:val="005D003C"/>
    <w:rsid w:val="005D43DA"/>
    <w:rsid w:val="005D594E"/>
    <w:rsid w:val="005D7F0A"/>
    <w:rsid w:val="005E0DFC"/>
    <w:rsid w:val="005F19BF"/>
    <w:rsid w:val="00610BC5"/>
    <w:rsid w:val="00613E3C"/>
    <w:rsid w:val="006153C1"/>
    <w:rsid w:val="0062215A"/>
    <w:rsid w:val="006234CC"/>
    <w:rsid w:val="00625885"/>
    <w:rsid w:val="006311FD"/>
    <w:rsid w:val="00640EAD"/>
    <w:rsid w:val="00641331"/>
    <w:rsid w:val="00644622"/>
    <w:rsid w:val="00673036"/>
    <w:rsid w:val="00673C7A"/>
    <w:rsid w:val="00673FF4"/>
    <w:rsid w:val="00680312"/>
    <w:rsid w:val="00680C1B"/>
    <w:rsid w:val="0068603A"/>
    <w:rsid w:val="00696ECC"/>
    <w:rsid w:val="006A7417"/>
    <w:rsid w:val="006B339D"/>
    <w:rsid w:val="006C0134"/>
    <w:rsid w:val="006D2E56"/>
    <w:rsid w:val="006E5C5D"/>
    <w:rsid w:val="006F09EF"/>
    <w:rsid w:val="006F4C7B"/>
    <w:rsid w:val="006F5305"/>
    <w:rsid w:val="006F5C03"/>
    <w:rsid w:val="006F71F0"/>
    <w:rsid w:val="00701343"/>
    <w:rsid w:val="00706F91"/>
    <w:rsid w:val="00707898"/>
    <w:rsid w:val="007105EE"/>
    <w:rsid w:val="00711C5A"/>
    <w:rsid w:val="00717D39"/>
    <w:rsid w:val="007219EE"/>
    <w:rsid w:val="00727622"/>
    <w:rsid w:val="00734695"/>
    <w:rsid w:val="00734E0A"/>
    <w:rsid w:val="00742FBF"/>
    <w:rsid w:val="0074599F"/>
    <w:rsid w:val="0075215F"/>
    <w:rsid w:val="00752B97"/>
    <w:rsid w:val="007534E7"/>
    <w:rsid w:val="00775766"/>
    <w:rsid w:val="00784039"/>
    <w:rsid w:val="00787779"/>
    <w:rsid w:val="00793B35"/>
    <w:rsid w:val="00794E7A"/>
    <w:rsid w:val="007A72BF"/>
    <w:rsid w:val="007A7C01"/>
    <w:rsid w:val="007B3565"/>
    <w:rsid w:val="007B62CD"/>
    <w:rsid w:val="007B6B42"/>
    <w:rsid w:val="007B7C3B"/>
    <w:rsid w:val="007C1921"/>
    <w:rsid w:val="007C20C5"/>
    <w:rsid w:val="007C2A2A"/>
    <w:rsid w:val="007D0F0D"/>
    <w:rsid w:val="007D738D"/>
    <w:rsid w:val="007E14B1"/>
    <w:rsid w:val="007E53EC"/>
    <w:rsid w:val="007F35F1"/>
    <w:rsid w:val="007F367B"/>
    <w:rsid w:val="007F3E50"/>
    <w:rsid w:val="00812B76"/>
    <w:rsid w:val="00813182"/>
    <w:rsid w:val="008155F5"/>
    <w:rsid w:val="0083036D"/>
    <w:rsid w:val="00833EA6"/>
    <w:rsid w:val="0083746D"/>
    <w:rsid w:val="008460E9"/>
    <w:rsid w:val="008525E6"/>
    <w:rsid w:val="00854457"/>
    <w:rsid w:val="00855E14"/>
    <w:rsid w:val="00864AD4"/>
    <w:rsid w:val="00874E3F"/>
    <w:rsid w:val="00875E42"/>
    <w:rsid w:val="008767E6"/>
    <w:rsid w:val="00893F1A"/>
    <w:rsid w:val="008A013A"/>
    <w:rsid w:val="008A2F15"/>
    <w:rsid w:val="008B23FE"/>
    <w:rsid w:val="008B2D30"/>
    <w:rsid w:val="008B6D31"/>
    <w:rsid w:val="008B6FE6"/>
    <w:rsid w:val="008C175E"/>
    <w:rsid w:val="008C3FAF"/>
    <w:rsid w:val="008D4831"/>
    <w:rsid w:val="008D5A64"/>
    <w:rsid w:val="008E22B2"/>
    <w:rsid w:val="008E505A"/>
    <w:rsid w:val="008E7862"/>
    <w:rsid w:val="008F0485"/>
    <w:rsid w:val="008F3208"/>
    <w:rsid w:val="009012D8"/>
    <w:rsid w:val="00903E07"/>
    <w:rsid w:val="00904726"/>
    <w:rsid w:val="00915439"/>
    <w:rsid w:val="0092599C"/>
    <w:rsid w:val="009312E1"/>
    <w:rsid w:val="00950D2C"/>
    <w:rsid w:val="0095121A"/>
    <w:rsid w:val="009547A5"/>
    <w:rsid w:val="00973833"/>
    <w:rsid w:val="00974401"/>
    <w:rsid w:val="00980DE1"/>
    <w:rsid w:val="0098550A"/>
    <w:rsid w:val="009866A8"/>
    <w:rsid w:val="009A5B43"/>
    <w:rsid w:val="009A6835"/>
    <w:rsid w:val="009B0A14"/>
    <w:rsid w:val="009C05E2"/>
    <w:rsid w:val="009C1EFC"/>
    <w:rsid w:val="009D01C0"/>
    <w:rsid w:val="009D14DC"/>
    <w:rsid w:val="009E3304"/>
    <w:rsid w:val="009E6034"/>
    <w:rsid w:val="009F3C87"/>
    <w:rsid w:val="00A01656"/>
    <w:rsid w:val="00A01CCE"/>
    <w:rsid w:val="00A04053"/>
    <w:rsid w:val="00A074F3"/>
    <w:rsid w:val="00A221F8"/>
    <w:rsid w:val="00A23200"/>
    <w:rsid w:val="00A2682B"/>
    <w:rsid w:val="00A279BF"/>
    <w:rsid w:val="00A32264"/>
    <w:rsid w:val="00A36C28"/>
    <w:rsid w:val="00A37A3D"/>
    <w:rsid w:val="00A4076D"/>
    <w:rsid w:val="00A44D12"/>
    <w:rsid w:val="00A53445"/>
    <w:rsid w:val="00A572FC"/>
    <w:rsid w:val="00A67A97"/>
    <w:rsid w:val="00A741E3"/>
    <w:rsid w:val="00A80B5C"/>
    <w:rsid w:val="00A8479F"/>
    <w:rsid w:val="00A912EF"/>
    <w:rsid w:val="00A93ADD"/>
    <w:rsid w:val="00A9556D"/>
    <w:rsid w:val="00AA13E8"/>
    <w:rsid w:val="00AA6B1C"/>
    <w:rsid w:val="00AB0534"/>
    <w:rsid w:val="00AB18BD"/>
    <w:rsid w:val="00AB4DB4"/>
    <w:rsid w:val="00AB522A"/>
    <w:rsid w:val="00AB70B6"/>
    <w:rsid w:val="00AC4ABC"/>
    <w:rsid w:val="00AD2885"/>
    <w:rsid w:val="00AD4371"/>
    <w:rsid w:val="00AD771E"/>
    <w:rsid w:val="00AE288F"/>
    <w:rsid w:val="00AE31A5"/>
    <w:rsid w:val="00AE78FA"/>
    <w:rsid w:val="00AF20EF"/>
    <w:rsid w:val="00B0143B"/>
    <w:rsid w:val="00B05E00"/>
    <w:rsid w:val="00B076E8"/>
    <w:rsid w:val="00B10082"/>
    <w:rsid w:val="00B145CA"/>
    <w:rsid w:val="00B16B6B"/>
    <w:rsid w:val="00B20D60"/>
    <w:rsid w:val="00B22B37"/>
    <w:rsid w:val="00B419D7"/>
    <w:rsid w:val="00B45F50"/>
    <w:rsid w:val="00B47C26"/>
    <w:rsid w:val="00B637F4"/>
    <w:rsid w:val="00B7555D"/>
    <w:rsid w:val="00B8098A"/>
    <w:rsid w:val="00B96B3B"/>
    <w:rsid w:val="00B96C3A"/>
    <w:rsid w:val="00BA1223"/>
    <w:rsid w:val="00BA4ACD"/>
    <w:rsid w:val="00BA64FD"/>
    <w:rsid w:val="00BB3234"/>
    <w:rsid w:val="00BC5C10"/>
    <w:rsid w:val="00BD0495"/>
    <w:rsid w:val="00BD0543"/>
    <w:rsid w:val="00BD115E"/>
    <w:rsid w:val="00BE216D"/>
    <w:rsid w:val="00BE3E7F"/>
    <w:rsid w:val="00BF190A"/>
    <w:rsid w:val="00BF3514"/>
    <w:rsid w:val="00C03143"/>
    <w:rsid w:val="00C1353E"/>
    <w:rsid w:val="00C15DA0"/>
    <w:rsid w:val="00C179E6"/>
    <w:rsid w:val="00C25D85"/>
    <w:rsid w:val="00C4450E"/>
    <w:rsid w:val="00C54D42"/>
    <w:rsid w:val="00C66A2D"/>
    <w:rsid w:val="00C71E0E"/>
    <w:rsid w:val="00C81236"/>
    <w:rsid w:val="00C8225B"/>
    <w:rsid w:val="00C8443B"/>
    <w:rsid w:val="00CA0A8A"/>
    <w:rsid w:val="00CA33FB"/>
    <w:rsid w:val="00CB707D"/>
    <w:rsid w:val="00CC59AE"/>
    <w:rsid w:val="00CC5CE6"/>
    <w:rsid w:val="00CD53FB"/>
    <w:rsid w:val="00CF7956"/>
    <w:rsid w:val="00D02309"/>
    <w:rsid w:val="00D06FEC"/>
    <w:rsid w:val="00D10FBF"/>
    <w:rsid w:val="00D21CBE"/>
    <w:rsid w:val="00D236A0"/>
    <w:rsid w:val="00D306D3"/>
    <w:rsid w:val="00D446D8"/>
    <w:rsid w:val="00D501AC"/>
    <w:rsid w:val="00D51651"/>
    <w:rsid w:val="00D51B0E"/>
    <w:rsid w:val="00D5459F"/>
    <w:rsid w:val="00D57B49"/>
    <w:rsid w:val="00D57B6A"/>
    <w:rsid w:val="00D57FA9"/>
    <w:rsid w:val="00D619A8"/>
    <w:rsid w:val="00D6758F"/>
    <w:rsid w:val="00D72DC0"/>
    <w:rsid w:val="00D7503D"/>
    <w:rsid w:val="00D75ED1"/>
    <w:rsid w:val="00D76A7A"/>
    <w:rsid w:val="00D83160"/>
    <w:rsid w:val="00D844E2"/>
    <w:rsid w:val="00D85A1A"/>
    <w:rsid w:val="00D85B84"/>
    <w:rsid w:val="00D86808"/>
    <w:rsid w:val="00D86FE1"/>
    <w:rsid w:val="00D875F8"/>
    <w:rsid w:val="00D90959"/>
    <w:rsid w:val="00DA13AF"/>
    <w:rsid w:val="00DA377E"/>
    <w:rsid w:val="00DA62C9"/>
    <w:rsid w:val="00DA65E4"/>
    <w:rsid w:val="00DA789E"/>
    <w:rsid w:val="00DB1688"/>
    <w:rsid w:val="00DB458B"/>
    <w:rsid w:val="00DB718D"/>
    <w:rsid w:val="00DC1FFD"/>
    <w:rsid w:val="00DC3CF9"/>
    <w:rsid w:val="00DD3203"/>
    <w:rsid w:val="00DD344E"/>
    <w:rsid w:val="00DE5CFD"/>
    <w:rsid w:val="00DE7853"/>
    <w:rsid w:val="00E03BF2"/>
    <w:rsid w:val="00E056E1"/>
    <w:rsid w:val="00E06FDE"/>
    <w:rsid w:val="00E107E8"/>
    <w:rsid w:val="00E14102"/>
    <w:rsid w:val="00E203EF"/>
    <w:rsid w:val="00E221D6"/>
    <w:rsid w:val="00E23667"/>
    <w:rsid w:val="00E24401"/>
    <w:rsid w:val="00E25545"/>
    <w:rsid w:val="00E325B0"/>
    <w:rsid w:val="00E33856"/>
    <w:rsid w:val="00E37152"/>
    <w:rsid w:val="00E61931"/>
    <w:rsid w:val="00E7293C"/>
    <w:rsid w:val="00E74968"/>
    <w:rsid w:val="00E87D1B"/>
    <w:rsid w:val="00E95131"/>
    <w:rsid w:val="00EA216F"/>
    <w:rsid w:val="00EA40E9"/>
    <w:rsid w:val="00EA5206"/>
    <w:rsid w:val="00EB2855"/>
    <w:rsid w:val="00EB7189"/>
    <w:rsid w:val="00EB77C3"/>
    <w:rsid w:val="00EC4E5C"/>
    <w:rsid w:val="00ED2682"/>
    <w:rsid w:val="00ED3F21"/>
    <w:rsid w:val="00ED4193"/>
    <w:rsid w:val="00ED4F4C"/>
    <w:rsid w:val="00EE0E44"/>
    <w:rsid w:val="00EE0EBA"/>
    <w:rsid w:val="00EF6042"/>
    <w:rsid w:val="00F1053A"/>
    <w:rsid w:val="00F13758"/>
    <w:rsid w:val="00F320A6"/>
    <w:rsid w:val="00F44E9E"/>
    <w:rsid w:val="00F46B80"/>
    <w:rsid w:val="00F55570"/>
    <w:rsid w:val="00F64F95"/>
    <w:rsid w:val="00F65109"/>
    <w:rsid w:val="00F75A79"/>
    <w:rsid w:val="00F75A88"/>
    <w:rsid w:val="00F76081"/>
    <w:rsid w:val="00F869BE"/>
    <w:rsid w:val="00F87BBB"/>
    <w:rsid w:val="00F940A3"/>
    <w:rsid w:val="00FA6842"/>
    <w:rsid w:val="00FB0990"/>
    <w:rsid w:val="00FB3C4C"/>
    <w:rsid w:val="00FC13F8"/>
    <w:rsid w:val="00FC7145"/>
    <w:rsid w:val="00FD4925"/>
    <w:rsid w:val="00FE1BC2"/>
    <w:rsid w:val="00FE3C5D"/>
    <w:rsid w:val="00FE572C"/>
    <w:rsid w:val="00FF2B4E"/>
    <w:rsid w:val="00FF5C7F"/>
    <w:rsid w:val="03F31E61"/>
    <w:rsid w:val="056E501F"/>
    <w:rsid w:val="07461E77"/>
    <w:rsid w:val="09C90E4E"/>
    <w:rsid w:val="0C0E76CC"/>
    <w:rsid w:val="0FC8414C"/>
    <w:rsid w:val="119A6341"/>
    <w:rsid w:val="11F2677F"/>
    <w:rsid w:val="128B4DB2"/>
    <w:rsid w:val="13402FBD"/>
    <w:rsid w:val="13F75172"/>
    <w:rsid w:val="14A46CBE"/>
    <w:rsid w:val="14DC4B52"/>
    <w:rsid w:val="16A657D7"/>
    <w:rsid w:val="18DC0363"/>
    <w:rsid w:val="18DC65B5"/>
    <w:rsid w:val="198C6AAE"/>
    <w:rsid w:val="19CD7C58"/>
    <w:rsid w:val="1A451775"/>
    <w:rsid w:val="1D1F4CC2"/>
    <w:rsid w:val="1DC865FB"/>
    <w:rsid w:val="200E7B69"/>
    <w:rsid w:val="262C0EEF"/>
    <w:rsid w:val="284D049F"/>
    <w:rsid w:val="289420C3"/>
    <w:rsid w:val="29C235A5"/>
    <w:rsid w:val="2BD7719E"/>
    <w:rsid w:val="306C3781"/>
    <w:rsid w:val="315C34A7"/>
    <w:rsid w:val="33E2613A"/>
    <w:rsid w:val="351213E5"/>
    <w:rsid w:val="35755DDE"/>
    <w:rsid w:val="375B3CB3"/>
    <w:rsid w:val="38090CD1"/>
    <w:rsid w:val="38A10829"/>
    <w:rsid w:val="3A002D32"/>
    <w:rsid w:val="3A1730F7"/>
    <w:rsid w:val="3AA3743C"/>
    <w:rsid w:val="42725B89"/>
    <w:rsid w:val="43481D51"/>
    <w:rsid w:val="434A55F7"/>
    <w:rsid w:val="44865C7B"/>
    <w:rsid w:val="47CE6377"/>
    <w:rsid w:val="48937FD9"/>
    <w:rsid w:val="49251C69"/>
    <w:rsid w:val="4A4010D7"/>
    <w:rsid w:val="4ACF3DA7"/>
    <w:rsid w:val="4C200079"/>
    <w:rsid w:val="4E155A24"/>
    <w:rsid w:val="535527CB"/>
    <w:rsid w:val="57AD3D54"/>
    <w:rsid w:val="592B363E"/>
    <w:rsid w:val="5A0711EA"/>
    <w:rsid w:val="5B4730AC"/>
    <w:rsid w:val="5CD916E8"/>
    <w:rsid w:val="616A17C3"/>
    <w:rsid w:val="61CD165F"/>
    <w:rsid w:val="620E541B"/>
    <w:rsid w:val="622540F5"/>
    <w:rsid w:val="62822243"/>
    <w:rsid w:val="68300842"/>
    <w:rsid w:val="68994898"/>
    <w:rsid w:val="691602F4"/>
    <w:rsid w:val="69971B67"/>
    <w:rsid w:val="6AB46C21"/>
    <w:rsid w:val="6D4258AC"/>
    <w:rsid w:val="6DDA42EC"/>
    <w:rsid w:val="6E093B28"/>
    <w:rsid w:val="6EF15FC2"/>
    <w:rsid w:val="704B4AC8"/>
    <w:rsid w:val="72195BA7"/>
    <w:rsid w:val="72706497"/>
    <w:rsid w:val="72995122"/>
    <w:rsid w:val="74FF2584"/>
    <w:rsid w:val="78151E01"/>
    <w:rsid w:val="781A2B0B"/>
    <w:rsid w:val="7A2A295A"/>
    <w:rsid w:val="7AA81150"/>
    <w:rsid w:val="7B7C4E36"/>
    <w:rsid w:val="7C8B3EC6"/>
    <w:rsid w:val="7D6A7A25"/>
    <w:rsid w:val="7F1A3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rPr>
  </w:style>
  <w:style w:type="paragraph" w:styleId="4">
    <w:name w:val="heading 3"/>
    <w:basedOn w:val="1"/>
    <w:next w:val="1"/>
    <w:qFormat/>
    <w:uiPriority w:val="0"/>
    <w:pPr>
      <w:keepNext/>
      <w:keepLines/>
      <w:spacing w:before="260" w:after="260" w:line="416" w:lineRule="auto"/>
      <w:outlineLvl w:val="2"/>
    </w:pPr>
    <w:rPr>
      <w:b/>
      <w:bCs/>
    </w:rPr>
  </w:style>
  <w:style w:type="paragraph" w:styleId="5">
    <w:name w:val="heading 4"/>
    <w:basedOn w:val="1"/>
    <w:next w:val="1"/>
    <w:link w:val="2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eastAsia="宋体"/>
      <w:sz w:val="21"/>
      <w:szCs w:val="22"/>
    </w:rPr>
  </w:style>
  <w:style w:type="paragraph" w:styleId="7">
    <w:name w:val="toa heading"/>
    <w:basedOn w:val="1"/>
    <w:next w:val="1"/>
    <w:qFormat/>
    <w:uiPriority w:val="0"/>
    <w:rPr>
      <w:rFonts w:ascii="Arial" w:hAnsi="Arial" w:eastAsia="宋体"/>
      <w:b/>
      <w:sz w:val="21"/>
      <w:szCs w:val="22"/>
    </w:rPr>
  </w:style>
  <w:style w:type="paragraph" w:styleId="8">
    <w:name w:val="Body Text"/>
    <w:basedOn w:val="1"/>
    <w:link w:val="26"/>
    <w:qFormat/>
    <w:uiPriority w:val="0"/>
    <w:pPr>
      <w:spacing w:after="120"/>
    </w:pPr>
  </w:style>
  <w:style w:type="paragraph" w:styleId="9">
    <w:name w:val="Date"/>
    <w:basedOn w:val="1"/>
    <w:next w:val="1"/>
    <w:qFormat/>
    <w:uiPriority w:val="0"/>
    <w:pPr>
      <w:ind w:left="100" w:leftChars="2500"/>
    </w:pPr>
  </w:style>
  <w:style w:type="paragraph" w:styleId="10">
    <w:name w:val="Balloon Text"/>
    <w:basedOn w:val="1"/>
    <w:link w:val="35"/>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line="480" w:lineRule="atLeast"/>
    </w:pPr>
    <w:rPr>
      <w:rFonts w:eastAsia="宋体"/>
      <w:sz w:val="18"/>
      <w:szCs w:val="20"/>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8"/>
    <w:link w:val="28"/>
    <w:qFormat/>
    <w:uiPriority w:val="0"/>
    <w:pPr>
      <w:ind w:firstLine="420" w:firstLineChars="100"/>
    </w:p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basedOn w:val="18"/>
    <w:qFormat/>
    <w:uiPriority w:val="0"/>
  </w:style>
  <w:style w:type="character" w:customStyle="1" w:styleId="21">
    <w:name w:val="unnamed31"/>
    <w:qFormat/>
    <w:uiPriority w:val="0"/>
    <w:rPr>
      <w:color w:val="000000"/>
      <w:sz w:val="18"/>
      <w:szCs w:val="18"/>
      <w:u w:val="none"/>
    </w:rPr>
  </w:style>
  <w:style w:type="character" w:customStyle="1" w:styleId="22">
    <w:name w:val="unnamed101"/>
    <w:qFormat/>
    <w:uiPriority w:val="0"/>
    <w:rPr>
      <w:sz w:val="21"/>
      <w:szCs w:val="21"/>
      <w:u w:val="none"/>
    </w:rPr>
  </w:style>
  <w:style w:type="paragraph" w:customStyle="1" w:styleId="23">
    <w:name w:val="Char Char Char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24">
    <w:name w:val="msonormalcxspmiddl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5">
    <w:name w:val="正文首行缩进 Char"/>
    <w:basedOn w:val="26"/>
    <w:link w:val="15"/>
    <w:qFormat/>
    <w:uiPriority w:val="0"/>
  </w:style>
  <w:style w:type="character" w:customStyle="1" w:styleId="26">
    <w:name w:val="正文文本 Char"/>
    <w:basedOn w:val="18"/>
    <w:link w:val="8"/>
    <w:qFormat/>
    <w:uiPriority w:val="0"/>
    <w:rPr>
      <w:rFonts w:eastAsia="仿宋_GB2312"/>
      <w:kern w:val="2"/>
      <w:sz w:val="32"/>
      <w:szCs w:val="32"/>
    </w:rPr>
  </w:style>
  <w:style w:type="paragraph" w:customStyle="1" w:styleId="27">
    <w:name w:val="Char"/>
    <w:basedOn w:val="1"/>
    <w:qFormat/>
    <w:uiPriority w:val="99"/>
    <w:pPr>
      <w:tabs>
        <w:tab w:val="left" w:pos="360"/>
      </w:tabs>
      <w:spacing w:line="300" w:lineRule="auto"/>
      <w:ind w:left="360" w:firstLine="560"/>
    </w:pPr>
    <w:rPr>
      <w:rFonts w:ascii="Tahoma" w:hAnsi="Tahoma" w:cs="Tahoma"/>
      <w:sz w:val="28"/>
      <w:szCs w:val="28"/>
    </w:rPr>
  </w:style>
  <w:style w:type="character" w:customStyle="1" w:styleId="28">
    <w:name w:val="正文首行缩进 Char1"/>
    <w:basedOn w:val="26"/>
    <w:link w:val="15"/>
    <w:qFormat/>
    <w:uiPriority w:val="0"/>
  </w:style>
  <w:style w:type="character" w:customStyle="1" w:styleId="29">
    <w:name w:val="标题 4 Char"/>
    <w:basedOn w:val="18"/>
    <w:link w:val="5"/>
    <w:semiHidden/>
    <w:qFormat/>
    <w:uiPriority w:val="0"/>
    <w:rPr>
      <w:rFonts w:asciiTheme="majorHAnsi" w:hAnsiTheme="majorHAnsi" w:eastAsiaTheme="majorEastAsia" w:cstheme="majorBidi"/>
      <w:b/>
      <w:bCs/>
      <w:kern w:val="2"/>
      <w:sz w:val="28"/>
      <w:szCs w:val="28"/>
    </w:rPr>
  </w:style>
  <w:style w:type="paragraph" w:customStyle="1" w:styleId="30">
    <w:name w:val="列出段落1"/>
    <w:basedOn w:val="1"/>
    <w:qFormat/>
    <w:uiPriority w:val="34"/>
    <w:pPr>
      <w:ind w:firstLine="420"/>
    </w:pPr>
    <w:rPr>
      <w:rFonts w:eastAsia="宋体"/>
      <w:sz w:val="21"/>
      <w:szCs w:val="22"/>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3">
    <w:name w:val="Table Paragraph"/>
    <w:basedOn w:val="1"/>
    <w:qFormat/>
    <w:uiPriority w:val="1"/>
    <w:rPr>
      <w:rFonts w:eastAsia="宋体"/>
      <w:sz w:val="21"/>
      <w:szCs w:val="22"/>
    </w:rPr>
  </w:style>
  <w:style w:type="table" w:customStyle="1" w:styleId="34">
    <w:name w:val="Table Normal"/>
    <w:unhideWhenUsed/>
    <w:qFormat/>
    <w:uiPriority w:val="2"/>
    <w:tblPr>
      <w:tblCellMar>
        <w:top w:w="0" w:type="dxa"/>
        <w:left w:w="0" w:type="dxa"/>
        <w:bottom w:w="0" w:type="dxa"/>
        <w:right w:w="0" w:type="dxa"/>
      </w:tblCellMar>
    </w:tblPr>
  </w:style>
  <w:style w:type="character" w:customStyle="1" w:styleId="35">
    <w:name w:val="批注框文本 Char"/>
    <w:basedOn w:val="18"/>
    <w:link w:val="10"/>
    <w:qFormat/>
    <w:uiPriority w:val="0"/>
    <w:rPr>
      <w:rFonts w:eastAsia="仿宋_GB2312"/>
      <w:kern w:val="2"/>
      <w:sz w:val="18"/>
      <w:szCs w:val="18"/>
    </w:rPr>
  </w:style>
  <w:style w:type="character" w:customStyle="1" w:styleId="36">
    <w:name w:val="font31"/>
    <w:basedOn w:val="18"/>
    <w:qFormat/>
    <w:uiPriority w:val="0"/>
    <w:rPr>
      <w:rFonts w:ascii="宋体" w:hAnsi="宋体" w:eastAsia="宋体" w:cs="宋体"/>
      <w:color w:val="000000"/>
      <w:sz w:val="24"/>
      <w:szCs w:val="24"/>
      <w:u w:val="none"/>
    </w:rPr>
  </w:style>
  <w:style w:type="character" w:customStyle="1" w:styleId="37">
    <w:name w:val="font41"/>
    <w:basedOn w:val="18"/>
    <w:qFormat/>
    <w:uiPriority w:val="0"/>
    <w:rPr>
      <w:rFonts w:ascii="Arial" w:hAnsi="Arial" w:cs="Arial"/>
      <w:color w:val="000000"/>
      <w:sz w:val="19"/>
      <w:szCs w:val="19"/>
      <w:u w:val="none"/>
    </w:rPr>
  </w:style>
  <w:style w:type="character" w:customStyle="1" w:styleId="38">
    <w:name w:val="font61"/>
    <w:basedOn w:val="18"/>
    <w:qFormat/>
    <w:uiPriority w:val="0"/>
    <w:rPr>
      <w:rFonts w:hint="eastAsia" w:ascii="方正仿宋简体" w:hAnsi="方正仿宋简体" w:eastAsia="方正仿宋简体" w:cs="方正仿宋简体"/>
      <w:color w:val="000000"/>
      <w:sz w:val="24"/>
      <w:szCs w:val="24"/>
      <w:u w:val="none"/>
    </w:rPr>
  </w:style>
  <w:style w:type="character" w:customStyle="1" w:styleId="39">
    <w:name w:val="font51"/>
    <w:basedOn w:val="1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6ce33402-408c-4273-ae84-1f3cd627466e</errorID>
      <errorWord>费</errorWord>
      <group>L1_Word</group>
      <groupName>字词问题</groupName>
      <ability>L2_Typo</ability>
      <abilityName>字词错误</abilityName>
      <candidateList>
        <item>费和</item>
      </candidateList>
      <explain/>
      <paraID>71AB698D</paraID>
      <start>104</start>
      <end>105</end>
      <status>ignored</status>
      <modifiedWord/>
      <trackRevisions>false</trackRevisions>
    </reviewItem>
    <reviewItem>
      <errorID>a31a91f9-8ae9-4ca5-870a-8b7212ff653b</errorID>
      <errorWord>。</errorWord>
      <group>L1_AI</group>
      <groupName>深度校对</groupName>
      <ability>L2_AI_Punc</ability>
      <abilityName>标点纠错</abilityName>
      <candidateList>
        <item>；</item>
      </candidateList>
      <explain/>
      <paraID>481F471A</paraID>
      <start>17</start>
      <end>18</end>
      <status>ignored</status>
      <modifiedWord/>
      <trackRevisions>false</trackRevisions>
    </reviewItem>
    <reviewItem>
      <errorID>db5684a4-8d0d-44ac-b21d-c53f94b4f57c</errorID>
      <errorWord>（十）</errorWord>
      <group>L1_AI</group>
      <groupName>深度校对</groupName>
      <ability>L2_AI_Title</ability>
      <abilityName>标题检查</abilityName>
      <candidateList>
        <item>（九）</item>
      </candidateList>
      <explain>标题顺序错误，请检查标题顺序是否合理。</explain>
      <paraID>7BD24300</paraID>
      <start>0</start>
      <end>3</end>
      <status>modified</status>
      <modifiedWord>（九）</modifiedWord>
      <trackRevisions>false</trackRevisions>
    </reviewItem>
    <reviewItem>
      <errorID>86864d58-29f5-4329-a0ad-9245dfd5f17e</errorID>
      <errorWord>。</errorWord>
      <group>L1_AI</group>
      <groupName>深度校对</groupName>
      <ability>L2_AI_Punc</ability>
      <abilityName>标点纠错</abilityName>
      <candidateList>
        <item>；</item>
      </candidateList>
      <explain/>
      <paraID>23B02319</paraID>
      <start>19</start>
      <end>20</end>
      <status>ignored</status>
      <modifiedWord/>
      <trackRevisions>false</trackRevisions>
    </reviewItem>
    <reviewItem>
      <errorID>c0838319-8c3f-4776-9721-672ccd3125f9</errorID>
      <errorWord>挖掘</errorWord>
      <group>L1_AI</group>
      <groupName>深度校对</groupName>
      <ability>L2_AI_Punc</ability>
      <abilityName>标点纠错</abilityName>
      <candidateList>
        <item>、挖掘</item>
      </candidateList>
      <explain/>
      <paraID>433ED760</paraID>
      <start>24</start>
      <end>26</end>
      <status>ignored</status>
      <modifiedWord/>
      <trackRevisions>false</trackRevisions>
    </reviewItem>
    <reviewItem>
      <errorID>15472806-e680-421f-9a5d-8663f5756030</errorID>
      <errorWord>。</errorWord>
      <group>L1_AI</group>
      <groupName>深度校对</groupName>
      <ability>L2_AI_Punc</ability>
      <abilityName>标点纠错</abilityName>
      <candidateList>
        <item>；</item>
      </candidateList>
      <explain/>
      <paraID>5C9EA264</paraID>
      <start>19</start>
      <end>20</end>
      <status>ignored</status>
      <modifiedWord/>
      <trackRevisions>false</trackRevisions>
    </reviewItem>
    <reviewItem>
      <errorID>8e33ff3e-cf49-438c-9df0-6904ee2bed00</errorID>
      <errorWord>时起</errorWord>
      <group>L1_AI</group>
      <groupName>深度校对</groupName>
      <ability>L2_AI_Word</ability>
      <abilityName>字词纠错</abilityName>
      <candidateList>
        <item>之日起</item>
      </candidateList>
      <explain/>
      <paraID>7D47BD44</paraID>
      <start>166</start>
      <end>168</end>
      <status>ignored</status>
      <modifiedWord/>
      <trackRevisions>false</trackRevisions>
    </reviewItem>
    <reviewItem>
      <errorID>97f8d33f-8ab6-4d19-9111-760a7430299f</errorID>
      <errorWord>挖掘</errorWord>
      <group>L1_AI</group>
      <groupName>深度校对</groupName>
      <ability>L2_AI_Punc</ability>
      <abilityName>标点纠错</abilityName>
      <candidateList>
        <item>、挖掘</item>
      </candidateList>
      <explain/>
      <paraID>7D47BD44</paraID>
      <start>177</start>
      <end>179</end>
      <status>ignored</status>
      <modifiedWord/>
      <trackRevisions>false</trackRevisions>
    </reviewItem>
    <reviewItem>
      <errorID>47e43954-3a08-46db-83de-2eac89484011</errorID>
      <errorWord>挖掘</errorWord>
      <group>L1_AI</group>
      <groupName>深度校对</groupName>
      <ability>L2_AI_Punc</ability>
      <abilityName>标点纠错</abilityName>
      <candidateList>
        <item>、挖掘</item>
      </candidateList>
      <explain/>
      <paraID>5CC866B6</paraID>
      <start>19</start>
      <end>21</end>
      <status>ignored</status>
      <modifiedWord/>
      <trackRevisions>false</trackRevisions>
    </reviewItem>
    <reviewItem>
      <errorID>4adcd027-d08e-416b-9913-96d69ca94556</errorID>
      <errorWord>按</errorWord>
      <group>L1_AI</group>
      <groupName>深度校对</groupName>
      <ability>L2_AI_Punc</ability>
      <abilityName>标点纠错</abilityName>
      <candidateList>
        <item>，按</item>
      </candidateList>
      <explain/>
      <paraID>4E7B5A45</paraID>
      <start>81</start>
      <end>83</end>
      <status>modified</status>
      <modifiedWord>，按</modifiedWord>
      <trackRevisions>false</trackRevisions>
    </reviewItem>
    <reviewItem>
      <errorID>6de0f074-3579-4f79-a716-d7cbf82cc57c</errorID>
      <errorWord>设计阶段</errorWord>
      <group>L1_AI</group>
      <groupName>深度校对</groupName>
      <ability>L2_AI_Word</ability>
      <abilityName>字词纠错</abilityName>
      <candidateList>
        <item>设计时</item>
      </candidateList>
      <explain/>
      <paraID>61505F59</paraID>
      <start>28</start>
      <end>32</end>
      <status>ignored</status>
      <modifiedWord/>
      <trackRevisions>false</trackRevisions>
    </reviewItem>
    <reviewItem>
      <errorID>95b971a3-eea5-47e4-97f0-2142b501d717</errorID>
      <errorWord>费</errorWord>
      <group>L1_Word</group>
      <groupName>字词问题</groupName>
      <ability>L2_Typo</ability>
      <abilityName>字词错误</abilityName>
      <candidateList>
        <item>费和</item>
      </candidateList>
      <explain/>
      <paraID>450B46C1</paraID>
      <start>35</start>
      <end>36</end>
      <status>ignored</status>
      <modifiedWord/>
      <trackRevisions>false</trackRevisions>
    </reviewItem>
    <reviewItem>
      <errorID>db07bd8b-f6d2-4759-a216-7be6a6257cb0</errorID>
      <errorWord>）标准收取</errorWord>
      <group>L1_AI</group>
      <groupName>深度校对</groupName>
      <ability>L2_AI_Grammar</ability>
      <abilityName>语法纠错</abilityName>
      <candidateList>
        <item>）</item>
      </candidateList>
      <explain/>
      <paraID>450B46C1</paraID>
      <start>60</start>
      <end>65</end>
      <status>ignored</status>
      <modifiedWord/>
      <trackRevisions>false</trackRevisions>
    </reviewItem>
    <reviewItem>
      <errorID>46d484e8-9695-4145-9b70-1eccd16dde05</errorID>
      <errorWord>脱空</errorWord>
      <group>L1_Word</group>
      <groupName>字词问题</groupName>
      <ability>L2_Typo</ability>
      <abilityName>字词错误</abilityName>
      <candidateList>
        <item>掏空</item>
      </candidateList>
      <explain/>
      <paraID>11CADDF6</paraID>
      <start>41</start>
      <end>43</end>
      <status>ignored</status>
      <modifiedWord/>
      <trackRevisions>false</trackRevisions>
    </reviewItem>
    <reviewItem>
      <errorID>edcd3248-3591-4fd1-8393-d2d87e989a25</errorID>
      <errorWord>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22AC010F</paraID>
      <start>25</start>
      <end>26</end>
      <status>ignored</status>
      <modifiedWord/>
      <trackRevisions>false</trackRevisions>
    </reviewItem>
    <reviewItem>
      <errorID>9e7271d1-c4fc-4d80-bc85-ec66e1e82089</errorID>
      <errorWord>属</errorWord>
      <group>L1_Word</group>
      <groupName>字词问题</groupName>
      <ability>L2_Typo</ability>
      <abilityName>字词错误</abilityName>
      <candidateList>
        <item>属于</item>
      </candidateList>
      <explain/>
      <paraID>22AC010F</paraID>
      <start>75</start>
      <end>76</end>
      <status>ignored</status>
      <modifiedWord/>
      <trackRevisions>false</trackRevisions>
    </reviewItem>
    <reviewItem>
      <errorID>f90374dd-8a52-4fee-9e92-1592ad2b2cce</errorID>
      <errorWord>注</errorWord>
      <group>L1_Word</group>
      <groupName>字词问题</groupName>
      <ability>L2_Typo</ability>
      <abilityName>字词错误</abilityName>
      <candidateList>
        <item>注入</item>
      </candidateList>
      <explain/>
      <paraID>455218F3</paraID>
      <start>53</start>
      <end>54</end>
      <status>ignored</status>
      <modifiedWord/>
      <trackRevisions>false</trackRevisions>
    </reviewItem>
    <reviewItem>
      <errorID>2e17bc7c-543d-49a6-8bfb-f7816475a172</errorID>
      <errorWord>遮荫</errorWord>
      <group>L1_Word</group>
      <groupName>字词问题</groupName>
      <ability>L2_Typo</ability>
      <abilityName>字词错误</abilityName>
      <candidateList>
        <item>遮阴</item>
      </candidateList>
      <explain>存在发音相同字词的误用。</explain>
      <paraID>13F316DB</paraID>
      <start>67</start>
      <end>69</end>
      <status>ignored</status>
      <modifiedWord/>
      <trackRevisions>false</trackRevisions>
    </reviewItem>
    <reviewItem>
      <errorID>929b33fa-6f29-4b45-9b28-4fb4e4fb606c</errorID>
      <errorWord>表聚</errorWord>
      <group>L1_Word</group>
      <groupName>字词问题</groupName>
      <ability>L2_Typo</ability>
      <abilityName>字词错误</abilityName>
      <candidateList>
        <item>积聚</item>
      </candidateList>
      <explain>〈动〉积累▲：把～起来的钱存入银行。</explain>
      <paraID>13F316DB</paraID>
      <start>177</start>
      <end>179</end>
      <status>ignored</status>
      <modifiedWord/>
      <trackRevisions>false</trackRevisions>
    </reviewItem>
    <reviewItem>
      <errorID>4f7d9fb0-2155-4290-8002-98d536893ec8</errorID>
      <errorWord>硬性</errorWord>
      <group>L1_Word</group>
      <groupName>字词问题</groupName>
      <ability>L2_Typo</ability>
      <abilityName>字词错误</abilityName>
      <candidateList>
        <item>硬型</item>
      </candidateList>
      <explain/>
      <paraID>3553FA3B</paraID>
      <start>37</start>
      <end>39</end>
      <status>ignored</status>
      <modifiedWord/>
      <trackRevisions>false</trackRevisions>
    </reviewItem>
    <reviewItem>
      <errorID>ab8ccbc3-0011-433c-a4f9-349b7a52b258</errorID>
      <errorWord>抗寒</errorWord>
      <group>L1_Word</group>
      <groupName>字词问题</groupName>
      <ability>L2_Typo</ability>
      <abilityName>字词错误</abilityName>
      <candidateList>
        <item>抗旱</item>
      </candidateList>
      <explain/>
      <paraID>11F8E1D2</paraID>
      <start>109</start>
      <end>111</end>
      <status>ignored</status>
      <modifiedWord/>
      <trackRevisions>false</trackRevisions>
    </reviewItem>
  </reviewItems>
  <config/>
</contractReview>
</file>

<file path=customXml/itemProps1.xml><?xml version="1.0" encoding="utf-8"?>
<ds:datastoreItem xmlns:ds="http://schemas.openxmlformats.org/officeDocument/2006/customXml" ds:itemID="{2E54B529-F0E3-47CA-90B8-5D9DFA648BCA}">
  <ds:schemaRefs/>
</ds:datastoreItem>
</file>

<file path=customXml/itemProps2.xml><?xml version="1.0" encoding="utf-8"?>
<ds:datastoreItem xmlns:ds="http://schemas.openxmlformats.org/officeDocument/2006/customXml" ds:itemID="{2f24c6ed-8916-46aa-808e-e1f1eff88d3e}">
  <ds:schemaRefs/>
</ds:datastoreItem>
</file>

<file path=docProps/app.xml><?xml version="1.0" encoding="utf-8"?>
<Properties xmlns="http://schemas.openxmlformats.org/officeDocument/2006/extended-properties" xmlns:vt="http://schemas.openxmlformats.org/officeDocument/2006/docPropsVTypes">
  <Template>Normal.dotm</Template>
  <Company>Micro</Company>
  <Pages>47</Pages>
  <Words>19987</Words>
  <Characters>20820</Characters>
  <Lines>112</Lines>
  <Paragraphs>31</Paragraphs>
  <TotalTime>3</TotalTime>
  <ScaleCrop>false</ScaleCrop>
  <LinksUpToDate>false</LinksUpToDate>
  <CharactersWithSpaces>21005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2022-09-26T04:17:00Z</dcterms:created>
  <dc:creator>管理员</dc:creator>
  <cp:lastModifiedBy>我叫阿郎丶</cp:lastModifiedBy>
  <cp:lastPrinted>2021-04-08T04:01:00Z</cp:lastPrinted>
  <dcterms:modified xsi:type="dcterms:W3CDTF">2026-01-06T03:56:42Z</dcterms:modified>
  <dc:title>发文处理单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C2ECEF4294224E0B8B0D9432EC490934_13</vt:lpwstr>
  </property>
  <property fmtid="{D5CDD505-2E9C-101B-9397-08002B2CF9AE}" pid="4" name="KSOTemplateDocerSaveRecord">
    <vt:lpwstr>eyJoZGlkIjoiZmFmZmEzYWI2YjMxYjE2NzQ5YmZhYzdlN2E2N2M2YWIiLCJ1c2VySWQiOiIxOTM5MzE4NTcifQ==</vt:lpwstr>
  </property>
</Properties>
</file>