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28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28"/>
          <w:shd w:val="clear" w:fill="FFFFFF"/>
        </w:rPr>
        <w:t>救济渠道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公民、法人或者其他组织认为行政行为侵犯其合法权益的，可以自知道或者应当知道该行政行为之日起六十日内向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第一师阿拉尔市人民政府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提出行政复议申请。或者自知道或者应当知道该行政行为之日起六个月内向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阿拉尔垦区人民法院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提起行政诉讼。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行政行为属于《中华人民共和国行政复议法》第二十三条规定的情形，救济渠道为公民、法人或者其他组织认为行政行为侵犯其合法权益的，应当自知道或者应当知道该行政行为之日起六十日内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向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第一师阿拉尔市人民政府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提出行政复议申请。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2025-05-15T09:45:16Z</dcterms:created>
  <dc:creator>Administrator</dc:creator>
  <cp:lastModifiedBy>123</cp:lastModifiedBy>
  <dcterms:modified xsi:type="dcterms:W3CDTF">2025-05-15T09:45:22Z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