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B00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i w:val="0"/>
          <w:iCs w:val="0"/>
          <w:caps w:val="0"/>
          <w:color w:val="000000"/>
          <w:spacing w:val="0"/>
          <w:sz w:val="42"/>
          <w:szCs w:val="42"/>
        </w:rPr>
      </w:pPr>
      <w:r>
        <w:rPr>
          <w:rFonts w:hint="eastAsia" w:ascii="宋体" w:hAnsi="宋体" w:eastAsia="宋体" w:cs="宋体"/>
          <w:i w:val="0"/>
          <w:iCs w:val="0"/>
          <w:caps w:val="0"/>
          <w:color w:val="000000"/>
          <w:spacing w:val="0"/>
          <w:sz w:val="42"/>
          <w:szCs w:val="42"/>
          <w:bdr w:val="none" w:color="auto" w:sz="0" w:space="0"/>
        </w:rPr>
        <w:t>中华人民共和国安全生产法</w:t>
      </w:r>
    </w:p>
    <w:p w14:paraId="7D5A9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420" w:firstLine="420"/>
        <w:jc w:val="both"/>
        <w:rPr>
          <w:rFonts w:hint="eastAsia" w:ascii="宋体" w:hAnsi="宋体" w:eastAsia="宋体" w:cs="宋体"/>
          <w:i w:val="0"/>
          <w:iCs w:val="0"/>
          <w:caps w:val="0"/>
          <w:color w:val="000000"/>
          <w:spacing w:val="0"/>
          <w:sz w:val="32"/>
          <w:szCs w:val="32"/>
        </w:rPr>
      </w:pPr>
      <w:r>
        <w:rPr>
          <w:rFonts w:ascii="楷体_GB2312" w:hAnsi="宋体" w:eastAsia="楷体_GB2312" w:cs="楷体_GB2312"/>
          <w:i w:val="0"/>
          <w:iCs w:val="0"/>
          <w:caps w:val="0"/>
          <w:color w:val="000000"/>
          <w:spacing w:val="0"/>
          <w:sz w:val="32"/>
          <w:szCs w:val="32"/>
          <w:bdr w:val="none" w:color="auto" w:sz="0" w:space="0"/>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14:paraId="68B373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jc w:val="center"/>
        <w:rPr>
          <w:rFonts w:hint="eastAsia" w:ascii="楷体_GB2312" w:hAnsi="宋体" w:eastAsia="楷体_GB2312" w:cs="楷体_GB2312"/>
          <w:i w:val="0"/>
          <w:iCs w:val="0"/>
          <w:caps w:val="0"/>
          <w:color w:val="000000"/>
          <w:spacing w:val="0"/>
          <w:sz w:val="32"/>
          <w:szCs w:val="32"/>
          <w:bdr w:val="none" w:color="auto" w:sz="0" w:space="0"/>
        </w:rPr>
      </w:pPr>
    </w:p>
    <w:p w14:paraId="7669A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jc w:val="center"/>
        <w:rPr>
          <w:rFonts w:hint="eastAsia" w:ascii="楷体_GB2312" w:hAnsi="宋体" w:eastAsia="楷体_GB2312" w:cs="楷体_GB2312"/>
          <w:i w:val="0"/>
          <w:iCs w:val="0"/>
          <w:caps w:val="0"/>
          <w:color w:val="000000"/>
          <w:spacing w:val="0"/>
          <w:sz w:val="32"/>
          <w:szCs w:val="32"/>
          <w:bdr w:val="none" w:color="auto" w:sz="0" w:space="0"/>
        </w:rPr>
      </w:pPr>
    </w:p>
    <w:p w14:paraId="170F3A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jc w:val="center"/>
        <w:rPr>
          <w:rFonts w:hint="eastAsia" w:ascii="楷体_GB2312" w:hAnsi="宋体" w:eastAsia="楷体_GB2312" w:cs="楷体_GB2312"/>
          <w:i w:val="0"/>
          <w:iCs w:val="0"/>
          <w:caps w:val="0"/>
          <w:color w:val="000000"/>
          <w:spacing w:val="0"/>
          <w:sz w:val="32"/>
          <w:szCs w:val="32"/>
          <w:bdr w:val="none" w:color="auto" w:sz="0" w:space="0"/>
        </w:rPr>
      </w:pPr>
    </w:p>
    <w:p w14:paraId="1D364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jc w:val="center"/>
        <w:rPr>
          <w:rFonts w:hint="eastAsia" w:ascii="楷体_GB2312" w:hAnsi="宋体" w:eastAsia="楷体_GB2312" w:cs="楷体_GB2312"/>
          <w:i w:val="0"/>
          <w:iCs w:val="0"/>
          <w:caps w:val="0"/>
          <w:color w:val="000000"/>
          <w:spacing w:val="0"/>
          <w:sz w:val="32"/>
          <w:szCs w:val="32"/>
          <w:bdr w:val="none" w:color="auto" w:sz="0" w:space="0"/>
        </w:rPr>
      </w:pPr>
    </w:p>
    <w:p w14:paraId="234DB8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jc w:val="center"/>
        <w:rPr>
          <w:rFonts w:hint="eastAsia" w:ascii="楷体_GB2312" w:hAnsi="宋体" w:eastAsia="楷体_GB2312" w:cs="楷体_GB2312"/>
          <w:i w:val="0"/>
          <w:iCs w:val="0"/>
          <w:caps w:val="0"/>
          <w:color w:val="000000"/>
          <w:spacing w:val="0"/>
          <w:sz w:val="32"/>
          <w:szCs w:val="32"/>
          <w:bdr w:val="none" w:color="auto" w:sz="0" w:space="0"/>
        </w:rPr>
      </w:pPr>
    </w:p>
    <w:p w14:paraId="36F762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jc w:val="center"/>
        <w:rPr>
          <w:rFonts w:hint="eastAsia" w:ascii="楷体_GB2312" w:hAnsi="宋体" w:eastAsia="楷体_GB2312" w:cs="楷体_GB2312"/>
          <w:i w:val="0"/>
          <w:iCs w:val="0"/>
          <w:caps w:val="0"/>
          <w:color w:val="000000"/>
          <w:spacing w:val="0"/>
          <w:sz w:val="32"/>
          <w:szCs w:val="32"/>
          <w:bdr w:val="none" w:color="auto" w:sz="0" w:space="0"/>
        </w:rPr>
      </w:pPr>
    </w:p>
    <w:p w14:paraId="2AD36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jc w:val="center"/>
        <w:rPr>
          <w:rFonts w:hint="eastAsia" w:ascii="楷体_GB2312" w:hAnsi="宋体" w:eastAsia="楷体_GB2312" w:cs="楷体_GB2312"/>
          <w:i w:val="0"/>
          <w:iCs w:val="0"/>
          <w:caps w:val="0"/>
          <w:color w:val="000000"/>
          <w:spacing w:val="0"/>
          <w:sz w:val="32"/>
          <w:szCs w:val="32"/>
          <w:bdr w:val="none" w:color="auto" w:sz="0" w:space="0"/>
        </w:rPr>
      </w:pPr>
    </w:p>
    <w:p w14:paraId="7CB2BF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jc w:val="center"/>
        <w:rPr>
          <w:rFonts w:hint="eastAsia" w:ascii="楷体_GB2312" w:hAnsi="宋体" w:eastAsia="楷体_GB2312" w:cs="楷体_GB2312"/>
          <w:i w:val="0"/>
          <w:iCs w:val="0"/>
          <w:caps w:val="0"/>
          <w:color w:val="000000"/>
          <w:spacing w:val="0"/>
          <w:sz w:val="32"/>
          <w:szCs w:val="32"/>
          <w:bdr w:val="none" w:color="auto" w:sz="0" w:space="0"/>
        </w:rPr>
      </w:pPr>
    </w:p>
    <w:p w14:paraId="78493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jc w:val="center"/>
        <w:rPr>
          <w:rFonts w:hint="eastAsia" w:ascii="楷体_GB2312" w:hAnsi="宋体" w:eastAsia="楷体_GB2312" w:cs="楷体_GB2312"/>
          <w:i w:val="0"/>
          <w:iCs w:val="0"/>
          <w:caps w:val="0"/>
          <w:color w:val="000000"/>
          <w:spacing w:val="0"/>
          <w:sz w:val="32"/>
          <w:szCs w:val="32"/>
          <w:bdr w:val="none" w:color="auto" w:sz="0" w:space="0"/>
        </w:rPr>
      </w:pPr>
    </w:p>
    <w:p w14:paraId="4EFA1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jc w:val="center"/>
        <w:rPr>
          <w:rFonts w:hint="eastAsia" w:ascii="楷体_GB2312" w:hAnsi="宋体" w:eastAsia="楷体_GB2312" w:cs="楷体_GB2312"/>
          <w:i w:val="0"/>
          <w:iCs w:val="0"/>
          <w:caps w:val="0"/>
          <w:color w:val="000000"/>
          <w:spacing w:val="0"/>
          <w:sz w:val="32"/>
          <w:szCs w:val="32"/>
          <w:bdr w:val="none" w:color="auto" w:sz="0" w:space="0"/>
        </w:rPr>
      </w:pPr>
    </w:p>
    <w:p w14:paraId="0ED99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jc w:val="center"/>
        <w:rPr>
          <w:rFonts w:hint="eastAsia" w:ascii="楷体_GB2312" w:hAnsi="宋体" w:eastAsia="楷体_GB2312" w:cs="楷体_GB2312"/>
          <w:i w:val="0"/>
          <w:iCs w:val="0"/>
          <w:caps w:val="0"/>
          <w:color w:val="000000"/>
          <w:spacing w:val="0"/>
          <w:sz w:val="32"/>
          <w:szCs w:val="32"/>
          <w:bdr w:val="none" w:color="auto" w:sz="0" w:space="0"/>
        </w:rPr>
      </w:pPr>
    </w:p>
    <w:p w14:paraId="61B82A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jc w:val="center"/>
        <w:rPr>
          <w:rFonts w:hint="eastAsia" w:ascii="宋体" w:hAnsi="宋体" w:eastAsia="宋体" w:cs="宋体"/>
          <w:i w:val="0"/>
          <w:iCs w:val="0"/>
          <w:caps w:val="0"/>
          <w:color w:val="000000"/>
          <w:spacing w:val="0"/>
          <w:sz w:val="32"/>
          <w:szCs w:val="32"/>
        </w:rPr>
      </w:pPr>
      <w:r>
        <w:rPr>
          <w:rFonts w:hint="eastAsia" w:ascii="楷体_GB2312" w:hAnsi="宋体" w:eastAsia="楷体_GB2312" w:cs="楷体_GB2312"/>
          <w:i w:val="0"/>
          <w:iCs w:val="0"/>
          <w:caps w:val="0"/>
          <w:color w:val="000000"/>
          <w:spacing w:val="0"/>
          <w:sz w:val="32"/>
          <w:szCs w:val="32"/>
          <w:bdr w:val="none" w:color="auto" w:sz="0" w:space="0"/>
        </w:rPr>
        <w:t>目　　录</w:t>
      </w:r>
    </w:p>
    <w:p w14:paraId="7D53FE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iCs w:val="0"/>
          <w:caps w:val="0"/>
          <w:color w:val="000000"/>
          <w:spacing w:val="0"/>
          <w:sz w:val="32"/>
          <w:szCs w:val="32"/>
        </w:rPr>
      </w:pPr>
      <w:r>
        <w:rPr>
          <w:rFonts w:hint="eastAsia" w:ascii="楷体_GB2312" w:hAnsi="宋体" w:eastAsia="楷体_GB2312" w:cs="楷体_GB2312"/>
          <w:i w:val="0"/>
          <w:iCs w:val="0"/>
          <w:caps w:val="0"/>
          <w:color w:val="000000"/>
          <w:spacing w:val="0"/>
          <w:sz w:val="32"/>
          <w:szCs w:val="32"/>
          <w:bdr w:val="none" w:color="auto" w:sz="0" w:space="0"/>
        </w:rPr>
        <w:t>第一章　总则</w:t>
      </w:r>
    </w:p>
    <w:p w14:paraId="51790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iCs w:val="0"/>
          <w:caps w:val="0"/>
          <w:color w:val="000000"/>
          <w:spacing w:val="0"/>
          <w:sz w:val="32"/>
          <w:szCs w:val="32"/>
        </w:rPr>
      </w:pPr>
      <w:r>
        <w:rPr>
          <w:rFonts w:hint="eastAsia" w:ascii="楷体_GB2312" w:hAnsi="宋体" w:eastAsia="楷体_GB2312" w:cs="楷体_GB2312"/>
          <w:i w:val="0"/>
          <w:iCs w:val="0"/>
          <w:caps w:val="0"/>
          <w:color w:val="000000"/>
          <w:spacing w:val="0"/>
          <w:sz w:val="32"/>
          <w:szCs w:val="32"/>
          <w:bdr w:val="none" w:color="auto" w:sz="0" w:space="0"/>
        </w:rPr>
        <w:t>第二章　生产经营单位的安全生产保障</w:t>
      </w:r>
    </w:p>
    <w:p w14:paraId="74D1C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iCs w:val="0"/>
          <w:caps w:val="0"/>
          <w:color w:val="000000"/>
          <w:spacing w:val="0"/>
          <w:sz w:val="32"/>
          <w:szCs w:val="32"/>
        </w:rPr>
      </w:pPr>
      <w:r>
        <w:rPr>
          <w:rFonts w:hint="eastAsia" w:ascii="楷体_GB2312" w:hAnsi="宋体" w:eastAsia="楷体_GB2312" w:cs="楷体_GB2312"/>
          <w:i w:val="0"/>
          <w:iCs w:val="0"/>
          <w:caps w:val="0"/>
          <w:color w:val="000000"/>
          <w:spacing w:val="0"/>
          <w:sz w:val="32"/>
          <w:szCs w:val="32"/>
          <w:bdr w:val="none" w:color="auto" w:sz="0" w:space="0"/>
        </w:rPr>
        <w:t>第三章　从业人员的安全生产权利义务</w:t>
      </w:r>
    </w:p>
    <w:p w14:paraId="247CF8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iCs w:val="0"/>
          <w:caps w:val="0"/>
          <w:color w:val="000000"/>
          <w:spacing w:val="0"/>
          <w:sz w:val="32"/>
          <w:szCs w:val="32"/>
        </w:rPr>
      </w:pPr>
      <w:r>
        <w:rPr>
          <w:rFonts w:hint="eastAsia" w:ascii="楷体_GB2312" w:hAnsi="宋体" w:eastAsia="楷体_GB2312" w:cs="楷体_GB2312"/>
          <w:i w:val="0"/>
          <w:iCs w:val="0"/>
          <w:caps w:val="0"/>
          <w:color w:val="000000"/>
          <w:spacing w:val="0"/>
          <w:sz w:val="32"/>
          <w:szCs w:val="32"/>
          <w:bdr w:val="none" w:color="auto" w:sz="0" w:space="0"/>
        </w:rPr>
        <w:t>第四章　安全生产的监督管理</w:t>
      </w:r>
    </w:p>
    <w:p w14:paraId="4870AF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iCs w:val="0"/>
          <w:caps w:val="0"/>
          <w:color w:val="000000"/>
          <w:spacing w:val="0"/>
          <w:sz w:val="32"/>
          <w:szCs w:val="32"/>
        </w:rPr>
      </w:pPr>
      <w:r>
        <w:rPr>
          <w:rFonts w:hint="eastAsia" w:ascii="楷体_GB2312" w:hAnsi="宋体" w:eastAsia="楷体_GB2312" w:cs="楷体_GB2312"/>
          <w:i w:val="0"/>
          <w:iCs w:val="0"/>
          <w:caps w:val="0"/>
          <w:color w:val="000000"/>
          <w:spacing w:val="0"/>
          <w:sz w:val="32"/>
          <w:szCs w:val="32"/>
          <w:bdr w:val="none" w:color="auto" w:sz="0" w:space="0"/>
        </w:rPr>
        <w:t>第五章　生产安全事故的应急救援与调查处理</w:t>
      </w:r>
    </w:p>
    <w:p w14:paraId="5D14E8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iCs w:val="0"/>
          <w:caps w:val="0"/>
          <w:color w:val="000000"/>
          <w:spacing w:val="0"/>
          <w:sz w:val="32"/>
          <w:szCs w:val="32"/>
        </w:rPr>
      </w:pPr>
      <w:r>
        <w:rPr>
          <w:rFonts w:hint="eastAsia" w:ascii="楷体_GB2312" w:hAnsi="宋体" w:eastAsia="楷体_GB2312" w:cs="楷体_GB2312"/>
          <w:i w:val="0"/>
          <w:iCs w:val="0"/>
          <w:caps w:val="0"/>
          <w:color w:val="000000"/>
          <w:spacing w:val="0"/>
          <w:sz w:val="32"/>
          <w:szCs w:val="32"/>
          <w:bdr w:val="none" w:color="auto" w:sz="0" w:space="0"/>
        </w:rPr>
        <w:t>第六章　法律责任</w:t>
      </w:r>
    </w:p>
    <w:p w14:paraId="33DF1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420" w:right="0" w:firstLine="0"/>
        <w:rPr>
          <w:rFonts w:hint="eastAsia" w:ascii="宋体" w:hAnsi="宋体" w:eastAsia="宋体" w:cs="宋体"/>
          <w:i w:val="0"/>
          <w:iCs w:val="0"/>
          <w:caps w:val="0"/>
          <w:color w:val="000000"/>
          <w:spacing w:val="0"/>
          <w:sz w:val="32"/>
          <w:szCs w:val="32"/>
        </w:rPr>
      </w:pPr>
      <w:r>
        <w:rPr>
          <w:rFonts w:hint="eastAsia" w:ascii="楷体_GB2312" w:hAnsi="宋体" w:eastAsia="楷体_GB2312" w:cs="楷体_GB2312"/>
          <w:i w:val="0"/>
          <w:iCs w:val="0"/>
          <w:caps w:val="0"/>
          <w:color w:val="000000"/>
          <w:spacing w:val="0"/>
          <w:sz w:val="32"/>
          <w:szCs w:val="32"/>
          <w:bdr w:val="none" w:color="auto" w:sz="0" w:space="0"/>
        </w:rPr>
        <w:t>第七章　附则</w:t>
      </w:r>
    </w:p>
    <w:p w14:paraId="27E74A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黑体" w:hAnsi="宋体" w:eastAsia="黑体" w:cs="黑体"/>
          <w:i w:val="0"/>
          <w:iCs w:val="0"/>
          <w:caps w:val="0"/>
          <w:color w:val="000000"/>
          <w:spacing w:val="0"/>
          <w:sz w:val="32"/>
          <w:szCs w:val="32"/>
          <w:bdr w:val="none" w:color="auto" w:sz="0" w:space="0"/>
        </w:rPr>
      </w:pPr>
    </w:p>
    <w:p w14:paraId="683A1B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黑体" w:hAnsi="宋体" w:eastAsia="黑体" w:cs="黑体"/>
          <w:i w:val="0"/>
          <w:iCs w:val="0"/>
          <w:caps w:val="0"/>
          <w:color w:val="000000"/>
          <w:spacing w:val="0"/>
          <w:sz w:val="32"/>
          <w:szCs w:val="32"/>
          <w:bdr w:val="none" w:color="auto" w:sz="0" w:space="0"/>
        </w:rPr>
      </w:pPr>
    </w:p>
    <w:p w14:paraId="1C474D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黑体" w:hAnsi="宋体" w:eastAsia="黑体" w:cs="黑体"/>
          <w:i w:val="0"/>
          <w:iCs w:val="0"/>
          <w:caps w:val="0"/>
          <w:color w:val="000000"/>
          <w:spacing w:val="0"/>
          <w:sz w:val="32"/>
          <w:szCs w:val="32"/>
          <w:bdr w:val="none" w:color="auto" w:sz="0" w:space="0"/>
        </w:rPr>
      </w:pPr>
    </w:p>
    <w:p w14:paraId="27F6B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黑体" w:hAnsi="宋体" w:eastAsia="黑体" w:cs="黑体"/>
          <w:i w:val="0"/>
          <w:iCs w:val="0"/>
          <w:caps w:val="0"/>
          <w:color w:val="000000"/>
          <w:spacing w:val="0"/>
          <w:sz w:val="32"/>
          <w:szCs w:val="32"/>
          <w:bdr w:val="none" w:color="auto" w:sz="0" w:space="0"/>
        </w:rPr>
      </w:pPr>
    </w:p>
    <w:p w14:paraId="17F50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黑体" w:hAnsi="宋体" w:eastAsia="黑体" w:cs="黑体"/>
          <w:i w:val="0"/>
          <w:iCs w:val="0"/>
          <w:caps w:val="0"/>
          <w:color w:val="000000"/>
          <w:spacing w:val="0"/>
          <w:sz w:val="32"/>
          <w:szCs w:val="32"/>
          <w:bdr w:val="none" w:color="auto" w:sz="0" w:space="0"/>
        </w:rPr>
      </w:pPr>
    </w:p>
    <w:p w14:paraId="0D820B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黑体" w:hAnsi="宋体" w:eastAsia="黑体" w:cs="黑体"/>
          <w:i w:val="0"/>
          <w:iCs w:val="0"/>
          <w:caps w:val="0"/>
          <w:color w:val="000000"/>
          <w:spacing w:val="0"/>
          <w:sz w:val="32"/>
          <w:szCs w:val="32"/>
          <w:bdr w:val="none" w:color="auto" w:sz="0" w:space="0"/>
        </w:rPr>
      </w:pPr>
    </w:p>
    <w:p w14:paraId="2DE97D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黑体" w:hAnsi="宋体" w:eastAsia="黑体" w:cs="黑体"/>
          <w:i w:val="0"/>
          <w:iCs w:val="0"/>
          <w:caps w:val="0"/>
          <w:color w:val="000000"/>
          <w:spacing w:val="0"/>
          <w:sz w:val="32"/>
          <w:szCs w:val="32"/>
          <w:bdr w:val="none" w:color="auto" w:sz="0" w:space="0"/>
        </w:rPr>
      </w:pPr>
    </w:p>
    <w:p w14:paraId="6AED0D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黑体" w:hAnsi="宋体" w:eastAsia="黑体" w:cs="黑体"/>
          <w:i w:val="0"/>
          <w:iCs w:val="0"/>
          <w:caps w:val="0"/>
          <w:color w:val="000000"/>
          <w:spacing w:val="0"/>
          <w:sz w:val="32"/>
          <w:szCs w:val="32"/>
          <w:bdr w:val="none" w:color="auto" w:sz="0" w:space="0"/>
        </w:rPr>
      </w:pPr>
    </w:p>
    <w:p w14:paraId="5D3592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黑体" w:hAnsi="宋体" w:eastAsia="黑体" w:cs="黑体"/>
          <w:i w:val="0"/>
          <w:iCs w:val="0"/>
          <w:caps w:val="0"/>
          <w:color w:val="000000"/>
          <w:spacing w:val="0"/>
          <w:sz w:val="32"/>
          <w:szCs w:val="32"/>
          <w:bdr w:val="none" w:color="auto" w:sz="0" w:space="0"/>
        </w:rPr>
      </w:pPr>
    </w:p>
    <w:p w14:paraId="2D1994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黑体" w:hAnsi="宋体" w:eastAsia="黑体" w:cs="黑体"/>
          <w:i w:val="0"/>
          <w:iCs w:val="0"/>
          <w:caps w:val="0"/>
          <w:color w:val="000000"/>
          <w:spacing w:val="0"/>
          <w:sz w:val="32"/>
          <w:szCs w:val="32"/>
          <w:bdr w:val="none" w:color="auto" w:sz="0" w:space="0"/>
        </w:rPr>
      </w:pPr>
    </w:p>
    <w:p w14:paraId="0EB939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黑体" w:hAnsi="宋体" w:eastAsia="黑体" w:cs="黑体"/>
          <w:i w:val="0"/>
          <w:iCs w:val="0"/>
          <w:caps w:val="0"/>
          <w:color w:val="000000"/>
          <w:spacing w:val="0"/>
          <w:sz w:val="32"/>
          <w:szCs w:val="32"/>
          <w:bdr w:val="none" w:color="auto" w:sz="0" w:space="0"/>
        </w:rPr>
      </w:pPr>
    </w:p>
    <w:p w14:paraId="56333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黑体" w:hAnsi="宋体" w:eastAsia="黑体" w:cs="黑体"/>
          <w:i w:val="0"/>
          <w:iCs w:val="0"/>
          <w:caps w:val="0"/>
          <w:color w:val="000000"/>
          <w:spacing w:val="0"/>
          <w:sz w:val="32"/>
          <w:szCs w:val="32"/>
          <w:bdr w:val="none" w:color="auto" w:sz="0" w:space="0"/>
        </w:rPr>
      </w:pPr>
    </w:p>
    <w:p w14:paraId="0680D7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黑体" w:hAnsi="宋体" w:eastAsia="黑体" w:cs="黑体"/>
          <w:i w:val="0"/>
          <w:iCs w:val="0"/>
          <w:caps w:val="0"/>
          <w:color w:val="000000"/>
          <w:spacing w:val="0"/>
          <w:sz w:val="32"/>
          <w:szCs w:val="32"/>
          <w:bdr w:val="none" w:color="auto" w:sz="0" w:space="0"/>
        </w:rPr>
      </w:pPr>
    </w:p>
    <w:p w14:paraId="6CAE0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黑体" w:hAnsi="宋体" w:eastAsia="黑体" w:cs="黑体"/>
          <w:i w:val="0"/>
          <w:iCs w:val="0"/>
          <w:caps w:val="0"/>
          <w:color w:val="000000"/>
          <w:spacing w:val="0"/>
          <w:sz w:val="32"/>
          <w:szCs w:val="32"/>
          <w:bdr w:val="none" w:color="auto" w:sz="0" w:space="0"/>
        </w:rPr>
      </w:pPr>
    </w:p>
    <w:p w14:paraId="7F686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微软雅黑" w:hAnsi="微软雅黑" w:eastAsia="微软雅黑" w:cs="微软雅黑"/>
          <w:i w:val="0"/>
          <w:iCs w:val="0"/>
          <w:caps w:val="0"/>
          <w:color w:val="000000"/>
          <w:spacing w:val="0"/>
          <w:sz w:val="27"/>
          <w:szCs w:val="27"/>
        </w:rPr>
      </w:pPr>
      <w:bookmarkStart w:id="0" w:name="_GoBack"/>
      <w:bookmarkEnd w:id="0"/>
      <w:r>
        <w:rPr>
          <w:rFonts w:ascii="黑体" w:hAnsi="宋体" w:eastAsia="黑体" w:cs="黑体"/>
          <w:i w:val="0"/>
          <w:iCs w:val="0"/>
          <w:caps w:val="0"/>
          <w:color w:val="000000"/>
          <w:spacing w:val="0"/>
          <w:sz w:val="32"/>
          <w:szCs w:val="32"/>
          <w:bdr w:val="none" w:color="auto" w:sz="0" w:space="0"/>
        </w:rPr>
        <w:t>第一章　总则</w:t>
      </w:r>
    </w:p>
    <w:p w14:paraId="3E6B8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为了加强安全生产工作，防止和减少生产安全事故，保障人民群众生命和财产安全，促进经济社会持续健康发展，制定本法。</w:t>
      </w:r>
    </w:p>
    <w:p w14:paraId="68006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14:paraId="4F50E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安全生产工作坚持中国共产党的领导。</w:t>
      </w:r>
    </w:p>
    <w:p w14:paraId="0E0470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安全生产工作应当以人为本，坚持人民至上、生命至上，把保护人民生命安全摆在首位，树牢安全发展理念，坚持安全第一、预防为主、综合治理的方针，从源头上防范化解重大安全风险。</w:t>
      </w:r>
    </w:p>
    <w:p w14:paraId="5C6F54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安全生产工作实行管行业必须管安全、管业务必须管安全、管生产经营必须管安全，强化和落实生产经营单位主体责任与政府监管责任，建立生产经营单位负责、职工参与、政府监管、行业自律和社会监督的机制。</w:t>
      </w:r>
    </w:p>
    <w:p w14:paraId="329FF1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6447C2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平台经济等新兴行业、领域的生产经营单位应当根据本行业、领域的特点，建立健全并落实全员安全生产责任制，加强从业人员安全生产教育和培训，履行本法和其他法律、法规规定的有关安全生产义务。</w:t>
      </w:r>
    </w:p>
    <w:p w14:paraId="5986C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生产经营单位的主要负责人是本单位安全生产第一责任人，对本单位的安全生产工作全面负责。其他负责人对职责范围内的安全生产工作负责。</w:t>
      </w:r>
    </w:p>
    <w:p w14:paraId="1548A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生产经营单位的从业人员有依法获得安全生产保障的权利，并应当依法履行安全生产方面的义务。</w:t>
      </w:r>
    </w:p>
    <w:p w14:paraId="758957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工会依法对安全生产工作进行监督。</w:t>
      </w:r>
    </w:p>
    <w:p w14:paraId="434B69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生产经营单位的工会依法组织职工参加本单位安全生产工作的民主管理和民主监督，维护职工在安全生产方面的合法权益。生产经营单位制定或者修改有关安全生产的规章制度，应当听取工会的意见。</w:t>
      </w:r>
    </w:p>
    <w:p w14:paraId="19A70A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国务院和县级以上地方各级人民政府应当根据国民经济和社会发展规划制定安全生产规划，并组织实施。安全生产规划应当与国土空间规划等相关规划相衔接。</w:t>
      </w:r>
    </w:p>
    <w:p w14:paraId="0EEEED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各级人民政府应当加强安全生产基础设施建设和安全生产监管能力建设，所需经费列入本级预算。</w:t>
      </w:r>
    </w:p>
    <w:p w14:paraId="1A5FE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14:paraId="71B64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14:paraId="3A583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691DF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国务院应急管理部门依照本法，对全国安全生产工作实施综合监督管理；县级以上地方各级人民政府应急管理部门依照本法，对本行政区域内安全生产工作实施综合监督管理。</w:t>
      </w:r>
    </w:p>
    <w:p w14:paraId="23C2D5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14:paraId="348DFE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14:paraId="390497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国务院有关部门应当按照保障安全生产的要求，依法及时制定有关的国家标准或者行业标准，并根据科技进步和经济发展适时修订。</w:t>
      </w:r>
    </w:p>
    <w:p w14:paraId="365695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生产经营单位必须执行依法制定的保障安全生产的国家标准或者行业标准。</w:t>
      </w:r>
    </w:p>
    <w:p w14:paraId="6C335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14:paraId="01EF8D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各级人民政府及其有关部门应当采取多种形式，加强对有关安全生产的法律、法规和安全生产知识的宣传，增强全社会的安全生产意识。</w:t>
      </w:r>
    </w:p>
    <w:p w14:paraId="307E8E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有关协会组织依照法律、行政法规和章程，为生产经营单位提供安全生产方面的信息、培训等服务，发挥自律作用，促进生产经营单位加强安全生产管理。</w:t>
      </w:r>
    </w:p>
    <w:p w14:paraId="51021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依法设立的为安全生产提供技术、管理服务的机构，依照法律、行政法规和执业准则，接受生产经营单位的委托为其安全生产工作提供技术、管理服务。</w:t>
      </w:r>
    </w:p>
    <w:p w14:paraId="61E386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生产经营单位委托前款规定的机构提供安全生产技术、管理服务的，保证安全生产的责任仍由本单位负责。</w:t>
      </w:r>
    </w:p>
    <w:p w14:paraId="0401C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国家实行生产安全事故责任追究制度，依照本法和有关法律、法规的规定，追究生产安全事故责任单位和责任人员的法律责任。</w:t>
      </w:r>
    </w:p>
    <w:p w14:paraId="22B05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县级以上各级人民政府应当组织负有安全生产监督管理职责的部门依法编制安全生产权力和责任清单，公开并接受社会监督。</w:t>
      </w:r>
    </w:p>
    <w:p w14:paraId="45A29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国家鼓励和支持安全生产科学技术研究和安全生产先进技术的推广应用，提高安全生产水平。</w:t>
      </w:r>
    </w:p>
    <w:p w14:paraId="0ABA5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国家对在改善安全生产条件、防止生产安全事故、参加抢险救护等方面取得显著成绩的单位和个人，给予奖励。</w:t>
      </w:r>
    </w:p>
    <w:p w14:paraId="4FA3BA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rPr>
        <w:t>第二章　生产经营单位的安全生产保障</w:t>
      </w:r>
    </w:p>
    <w:p w14:paraId="17E20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生产经营单位应当具备本法和有关法律、行政法规和国家标准或者行业标准规定的安全生产条件；不具备安全生产条件的，不得从事生产经营活动。</w:t>
      </w:r>
    </w:p>
    <w:p w14:paraId="6D90C4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生产经营单位的主要负责人对本单位安全生产工作负有下列职责:</w:t>
      </w:r>
    </w:p>
    <w:p w14:paraId="1E7E8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（一）建立健全并落实本单位全员安全生产责任制，加强安全生产标准化建设；</w:t>
      </w:r>
    </w:p>
    <w:p w14:paraId="59306C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（二）组织制定并实施本单位安全生产规章制度和操作规程；</w:t>
      </w:r>
    </w:p>
    <w:p w14:paraId="4A8E2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（三）组织制定并实施本单位安全生产教育和培训计划；</w:t>
      </w:r>
    </w:p>
    <w:p w14:paraId="251352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（四）保证本单位安全生产投入的有效实施；</w:t>
      </w:r>
    </w:p>
    <w:p w14:paraId="3DCA18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（五）组织建立并落实安全风险分级管控和隐患排查治理双重预防工作机制，督促、检查本单位的安全生产工作，及时消除生产安全事故隐患；</w:t>
      </w:r>
    </w:p>
    <w:p w14:paraId="7BC0CF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（六）组织制定并实施本单位的生产安全事故应急救援预案；</w:t>
      </w:r>
    </w:p>
    <w:p w14:paraId="62006E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（七）及时、如实报告生产安全事故。</w:t>
      </w:r>
    </w:p>
    <w:p w14:paraId="1C9A5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生产经营单位的全员安全生产责任制应当明确各岗位的责任人员、责任范围和考核标准等内容。</w:t>
      </w:r>
    </w:p>
    <w:p w14:paraId="6F4A6B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生产经营单位应当建立相应的机制，加强对全员安全生产责任制落实情况的监督考核，保证全员安全生产责任制的落实。</w:t>
      </w:r>
    </w:p>
    <w:p w14:paraId="4A7C92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生产经营单位应当具备的安全生产条件所必需的资金投入，由生产经营单位的决策机构、主要负责人或者个人经营的投资人予以保证，并对由于安全生产所必需的资金投入不足导致的后果承担责任。</w:t>
      </w:r>
    </w:p>
    <w:p w14:paraId="76000F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14:paraId="10E4EA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矿山、金属冶炼、建筑施工、运输单位和危险物品的生产、经营、储存、装卸单位，应当设置安全生产管理机构或者配备专职安全生产管理人员。</w:t>
      </w:r>
    </w:p>
    <w:p w14:paraId="6736D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前款规定以外的其他生产经营单位，从业人员超过一百人的，应当设置安全生产管理机构或者配备专职安全生产管理人员；从业人员在一百人以下的，应当配备专职或者兼职的安全生产管理人员。</w:t>
      </w:r>
    </w:p>
    <w:p w14:paraId="644123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生产经营单位的安全生产管理机构以及安全生产管理人员履行下列职责:</w:t>
      </w:r>
    </w:p>
    <w:p w14:paraId="23A293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（一）组织或者参与拟订本单位安全生产规章制度、操作规程和生产安全事故应急救援预案；</w:t>
      </w:r>
    </w:p>
    <w:p w14:paraId="3A35EA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（二）组织或者参与本单位安全生产教育和培训，如实记录安全生产教育和培训情况；</w:t>
      </w:r>
    </w:p>
    <w:p w14:paraId="01FD9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（三）组织开展危险源辨识和评估，督促落实本单位重大危险源的安全管理措施；</w:t>
      </w:r>
    </w:p>
    <w:p w14:paraId="6CF14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（四）组织或者参与本单位应急救援演练；</w:t>
      </w:r>
    </w:p>
    <w:p w14:paraId="21570B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（五）检查本单位的安全生产状况，及时排查生产安全事故隐患，提出改进安全生产管理的建议；</w:t>
      </w:r>
    </w:p>
    <w:p w14:paraId="1B519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（六）制止和纠正违章指挥、强令冒险作业、违反操作规程的行为；</w:t>
      </w:r>
    </w:p>
    <w:p w14:paraId="3E0BD8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（七）督促落实本单位安全生产整改措施。</w:t>
      </w:r>
    </w:p>
    <w:p w14:paraId="48CFA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生产经营单位可以设置专职安全生产分管负责人，协助本单位主要负责人履行安全生产管理职责。</w:t>
      </w:r>
    </w:p>
    <w:p w14:paraId="73A97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生产经营单位的安全生产管理机构以及安全生产管理人员应当恪尽职守，依法履行职责。</w:t>
      </w:r>
    </w:p>
    <w:p w14:paraId="050839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生产经营单位作出涉及安全生产的经营决策，应当听取安全生产管理机构以及安全生产管理人员的意见。</w:t>
      </w:r>
    </w:p>
    <w:p w14:paraId="3623E0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生产经营单位不得因安全生产管理人员依法履行职责而降低其工资、福利等待遇或者解除与其订立的劳动合同。</w:t>
      </w:r>
    </w:p>
    <w:p w14:paraId="1D7DBB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危险物品的生产、储存单位以及矿山、金属冶炼单位的安全生产管理人员的任免，应当告知主管的负有安全生产监督管理职责的部门。</w:t>
      </w:r>
    </w:p>
    <w:p w14:paraId="74FBD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生产经营单位的主要负责人和安全生产管理人员必须具备与本单位所从事的生产经营活动相应的安全生产知识和管理能力。</w:t>
      </w:r>
    </w:p>
    <w:p w14:paraId="3CC76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35376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3C1F2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292C9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70FE44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生产经营单位接收中等职业学校、高等学校学生实习的，应当对实习学生进行相应的安全生产教育和培训，提供必要的劳动防护用品。学校应当协助生产经营单位对实习学生进行安全生产教育和培训。</w:t>
      </w:r>
    </w:p>
    <w:p w14:paraId="087144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生产经营单位应当建立安全生产教育和培训档案，如实记录安全生产教育和培训的时间、内容、参加人员以及考核结果等情况。</w:t>
      </w:r>
    </w:p>
    <w:p w14:paraId="76AD9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生产经营单位采用新工艺、新技术、新材料或者使用新设备，必须了解、掌握其安全技术特性，采取有效的安全防护措施，并对从业人员进行专门的安全生产教育和培训。</w:t>
      </w:r>
    </w:p>
    <w:p w14:paraId="2D8248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生产经营单位的特种作业人员必须按照国家有关规定经专门的安全作业培训，取得相应资格，方可上岗作业。</w:t>
      </w:r>
    </w:p>
    <w:p w14:paraId="4A88DD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特种作业人员的范围由国务院应急管理部门会同国务院有关部门确定。</w:t>
      </w:r>
    </w:p>
    <w:p w14:paraId="67F797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生产经营单位新建、改建、扩建工程项目（以下统称建设项目）的安全设施，必须与主体工程同时设计、同时施工、同时投入生产和使用。安全设施投资应当纳入建设项目概算。</w:t>
      </w:r>
    </w:p>
    <w:p w14:paraId="203F69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矿山、金属冶炼建设项目和用于生产、储存、装卸危险物品的建设项目，应当按照国家有关规定进行安全评价。</w:t>
      </w:r>
    </w:p>
    <w:p w14:paraId="0F22A1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建设项目安全设施的设计人、设计单位应当对安全设施设计负责。</w:t>
      </w:r>
    </w:p>
    <w:p w14:paraId="2B97F7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矿山、金属冶炼建设项目和用于生产、储存、装卸危险物品的建设项目的安全设施设计应当按照国家有关规定报经有关部门审查，审查部门及其负责审查的人员对审查结果负责。</w:t>
      </w:r>
    </w:p>
    <w:p w14:paraId="2F297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矿山、金属冶炼建设项目和用于生产、储存、装卸危险物品的建设项目的施工单位必须按照批准的安全设施设计施工，并对安全设施的工程质量负责。</w:t>
      </w:r>
    </w:p>
    <w:p w14:paraId="35F86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77FB5B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生产经营单位应当在有较大危险因素的生产经营场所和有关设施、设备上，设置明显的安全警示标志。</w:t>
      </w:r>
    </w:p>
    <w:p w14:paraId="2218B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安全设备的设计、制造、安装、使用、检测、维修、改造和报废，应当符合国家标准或者行业标准。</w:t>
      </w:r>
    </w:p>
    <w:p w14:paraId="549D4E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生产经营单位必须对安全设备进行经常性维护、保养，并定期检测，保证正常运转。维护、保养、检测应当作好记录，并由有关人员签字。</w:t>
      </w:r>
    </w:p>
    <w:p w14:paraId="2F7F1E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生产经营单位不得关闭、破坏直接关系生产安全的监控、报警、防护、救生设备、设施，或者篡改、隐瞒、销毁其相关数据、信息。</w:t>
      </w:r>
    </w:p>
    <w:p w14:paraId="3093E6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餐饮等行业的生产经营单位使用燃气的，应当安装可燃气体报警装置，并保障其正常使用。</w:t>
      </w:r>
    </w:p>
    <w:p w14:paraId="2FC088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14:paraId="642393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国家对严重危及生产安全的工艺、设备实行淘汰制度，具体目录由国务院应急管理部门会同国务院有关部门制定并公布。法律、行政法规对目录的制定另有规定的，适用其规定。</w:t>
      </w:r>
    </w:p>
    <w:p w14:paraId="2F1AE8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省、自治区、直辖市人民政府可以根据本地区实际情况制定并公布具体目录，对前款规定以外的危及生产安全的工艺、设备予以淘汰。</w:t>
      </w:r>
    </w:p>
    <w:p w14:paraId="629877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生产经营单位不得使用应当淘汰的危及生产安全的工艺、设备。</w:t>
      </w:r>
    </w:p>
    <w:p w14:paraId="2484D1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生产、经营、运输、储存、使用危险物品或者处置废弃危险物品的，由有关主管部门依照有关法律、法规的规定和国家标准或者行业标准审批并实施监督管理。</w:t>
      </w:r>
    </w:p>
    <w:p w14:paraId="1B2B2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551DCD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生产经营单位对重大危险源应当登记建档，进行定期检测、评估、监控，并制定应急预案，告知从业人员和相关人员在紧急情况下应当采取的应急措施。</w:t>
      </w:r>
    </w:p>
    <w:p w14:paraId="522E4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14:paraId="75EFB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生产经营单位应当建立安全风险分级管控制度，按照安全风险分级采取相应的管控措施。</w:t>
      </w:r>
    </w:p>
    <w:p w14:paraId="3DAC48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CF37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县级以上地方各级人民政府负有安全生产监督管理职责的部门应当将重大事故隐患纳入相关信息系统，建立健全重大事故隐患治理督办制度，督促生产经营单位消除重大事故隐患。</w:t>
      </w:r>
    </w:p>
    <w:p w14:paraId="4C4678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生产、经营、储存、使用危险物品的车间、商店、仓库不得与员工宿舍在同一座建筑物内，并应当与员工宿舍保持安全距离。</w:t>
      </w:r>
    </w:p>
    <w:p w14:paraId="04E3F4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生产经营场所和员工宿舍应当设有符合紧急疏散要求、标志明显、保持畅通的出口、疏散通道。禁止占用、锁闭、封堵生产经营场所或者员工宿舍的出口、疏散通道。</w:t>
      </w:r>
    </w:p>
    <w:p w14:paraId="61EA28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生产经营单位进行爆破、吊装、动火、临时用电以及国务院应急管理部门会同国务院有关部门规定的其他危险作业，应当安排专门人员进行现场安全管理，确保操作规程的遵守和安全措施的落实。</w:t>
      </w:r>
    </w:p>
    <w:p w14:paraId="789D6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生产经营单位应当教育和督促从业人员严格执行本单位的安全生产规章制度和安全操作规程；并向从业人员如实告知作业场所和工作岗位存在的危险因素、防范措施以及事故应急措施。</w:t>
      </w:r>
    </w:p>
    <w:p w14:paraId="286C2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生产经营单位应当关注从业人员的身体、心理状况和行为习惯，加强对从业人员的心理疏导、精神慰藉，严格落实岗位安全生产责任，防范从业人员行为异常导致事故发生。</w:t>
      </w:r>
    </w:p>
    <w:p w14:paraId="1826EE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生产经营单位必须为从业人员提供符合国家标准或者行业标准的劳动防护用品，并监督、教育从业人员按照使用规则佩戴、使用。</w:t>
      </w:r>
    </w:p>
    <w:p w14:paraId="3174E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14:paraId="3AE94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14:paraId="09B0A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生产经营单位应当安排用于配备劳动防护用品、进行安全生产培训的经费。</w:t>
      </w:r>
    </w:p>
    <w:p w14:paraId="1F6DAA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14:paraId="2EB14F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生产经营单位不得将生产经营项目、场所、设备发包或者出租给不具备安全生产条件或者相应资质的单位或者个人。</w:t>
      </w:r>
    </w:p>
    <w:p w14:paraId="38CEF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4E05CD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02AEDA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生产经营单位发生生产安全事故时，单位的主要负责人应当立即组织抢救，并不得在事故调查处理期间擅离职守。</w:t>
      </w:r>
    </w:p>
    <w:p w14:paraId="61A981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生产经营单位必须依法参加工伤保险，为从业人员缴纳保险费。</w:t>
      </w:r>
    </w:p>
    <w:p w14:paraId="2BBA9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14:paraId="220D8E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rPr>
        <w:t>第三章　从业人员的安全生产权利义务</w:t>
      </w:r>
    </w:p>
    <w:p w14:paraId="0D7463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生产经营单位与从业人员订立的劳动合同，应当载明有关保障从业人员劳动安全、防止职业危害的事项，以及依法为从业人员办理工伤保险的事项。</w:t>
      </w:r>
    </w:p>
    <w:p w14:paraId="73B36D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生产经营单位不得以任何形式与从业人员订立协议，免除或者减轻其对从业人员因生产安全事故伤亡依法应承担的责任。</w:t>
      </w:r>
    </w:p>
    <w:p w14:paraId="40EE7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生产经营单位的从业人员有权了解其作业场所和工作岗位存在的危险因素、防范措施及事故应急措施，有权对本单位的安全生产工作提出建议。</w:t>
      </w:r>
    </w:p>
    <w:p w14:paraId="2B568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从业人员有权对本单位安全生产工作中存在的问题提出批评、检举、控告；有权拒绝违章指挥和强令冒险作业。</w:t>
      </w:r>
    </w:p>
    <w:p w14:paraId="2A558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生产经营单位不得因从业人员对本单位安全生产工作提出批评、检举、控告或者拒绝违章指挥、强令冒险作业而降低其工资、福利等待遇或者解除与其订立的劳动合同。</w:t>
      </w:r>
    </w:p>
    <w:p w14:paraId="23E5F6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从业人员发现直接危及人身安全的紧急情况时，有权停止作业或者在采取可能的应急措施后撤离作业场所。</w:t>
      </w:r>
    </w:p>
    <w:p w14:paraId="6B9F78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生产经营单位不得因从业人员在前款紧急情况下停止作业或者采取紧急撤离措施而降低其工资、福利等待遇或者解除与其订立的劳动合同。</w:t>
      </w:r>
    </w:p>
    <w:p w14:paraId="212E34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生产经营单位发生生产安全事故后，应当及时采取措施救治有关人员。</w:t>
      </w:r>
    </w:p>
    <w:p w14:paraId="6DB51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因生产安全事故受到损害的从业人员，除依法享有工伤保险外，依照有关民事法律尚有获得赔偿的权利的，有权提出赔偿要求。</w:t>
      </w:r>
    </w:p>
    <w:p w14:paraId="027E0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从业人员在作业过程中，应当严格落实岗位安全责任，遵守本单位的安全生产规章制度和操作规程，服从管理，正确佩戴和使用劳动防护用品。</w:t>
      </w:r>
    </w:p>
    <w:p w14:paraId="27B00A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从业人员应当接受安全生产教育和培训，掌握本职工作所需的安全生产知识，提高安全生产技能，增强事故预防和应急处理能力。</w:t>
      </w:r>
    </w:p>
    <w:p w14:paraId="0BF3F7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从业人员发现事故隐患或者其他不安全因素，应当立即向现场安全生产管理人员或者本单位负责人报告；接到报告的人员应当及时予以处理。</w:t>
      </w:r>
    </w:p>
    <w:p w14:paraId="2D0AE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工会有权对建设项目的安全设施与主体工程同时设计、同时施工、同时投入生产和使用进行监督，提出意见。</w:t>
      </w:r>
    </w:p>
    <w:p w14:paraId="6F1D4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14:paraId="561AFC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工会有权依法参加事故调查，向有关部门提出处理意见，并要求追究有关人员的责任。</w:t>
      </w:r>
    </w:p>
    <w:p w14:paraId="5FBBD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生产经营单位使用被派遣劳动者的，被派遣劳动者享有本法规定的从业人员的权利，并应当履行本法规定的从业人员的义务。</w:t>
      </w:r>
    </w:p>
    <w:p w14:paraId="6BCF0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rPr>
        <w:t>第四章　安全生产的监督管理</w:t>
      </w:r>
    </w:p>
    <w:p w14:paraId="707894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县级以上地方各级人民政府应当根据本行政区域内的安全生产状况，组织有关部门按照职责分工，对本行政区域内容易发生重大生产安全事故的生产经营单位进行严格检查。</w:t>
      </w:r>
    </w:p>
    <w:p w14:paraId="4014A3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应急管理部门应当按照分类分级监督管理的要求，制定安全生产年度监督检查计划，并按照年度监督检查计划进行监督检查，发现事故隐患，应当及时处理。</w:t>
      </w:r>
    </w:p>
    <w:p w14:paraId="09F1C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14:paraId="7651DC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负有安全生产监督管理职责的部门对涉及安全生产的事项进行审查、验收，不得收取费用；不得要求接受审查、验收的单位购买其指定品牌或者指定生产、销售单位的安全设备、器材或者其他产品。</w:t>
      </w:r>
    </w:p>
    <w:p w14:paraId="333DF3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7A78B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（一）进入生产经营单位进行检查，调阅有关资料，向有关单位和人员了解情况；</w:t>
      </w:r>
    </w:p>
    <w:p w14:paraId="07A28F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（二）对检查中发现的安全生产违法行为，当场予以纠正或者要求限期改正；对依法应当给予行政处罚的行为，依照本法和其他有关法律、行政法规的规定作出行政处罚决定；</w:t>
      </w:r>
    </w:p>
    <w:p w14:paraId="3F15F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38F54B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2B226E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监督检查不得影响被检查单位的正常生产经营活动。</w:t>
      </w:r>
    </w:p>
    <w:p w14:paraId="637321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生产经营单位对负有安全生产监督管理职责的部门的监督检查人员（以下统称安全生产监督检查人员）依法履行监督检查职责，应当予以配合，不得拒绝、阻挠。</w:t>
      </w:r>
    </w:p>
    <w:p w14:paraId="320EB9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安全生产监督检查人员应当忠于职守，坚持原则，秉公执法。</w:t>
      </w:r>
    </w:p>
    <w:p w14:paraId="632905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安全生产监督检查人员执行监督检查任务时，必须出示有效的行政执法证件；对涉及被检查单位的技术秘密和业务秘密，应当为其保密。</w:t>
      </w:r>
    </w:p>
    <w:p w14:paraId="72694A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14:paraId="61F48E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14:paraId="5653A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14:paraId="09DEDB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14:paraId="75112C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监察机关依照监察法的规定，对负有安全生产监督管理职责的部门及其工作人员履行安全生产监督管理职责实施监察。</w:t>
      </w:r>
    </w:p>
    <w:p w14:paraId="7942A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承担安全评价、认证、检测、检验职责的机构应当具备国家规定的资质条件，并对其作出的安全评价、认证、检测、检验结果的合法性、真实性负责。资质条件由国务院应急管理部门会同国务院有关部门制定。</w:t>
      </w:r>
    </w:p>
    <w:p w14:paraId="1827C3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承担安全评价、认证、检测、检验职责的机构应当建立并实施服务公开和报告公开制度，不得租借资质、挂靠、出具虚假报告。</w:t>
      </w:r>
    </w:p>
    <w:p w14:paraId="4B07B3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14:paraId="51D73B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涉及人员死亡的举报事项，应当由县级以上人民政府组织核查处理。</w:t>
      </w:r>
    </w:p>
    <w:p w14:paraId="545F7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任何单位或者个人对事故隐患或者安全生产违法行为，均有权向负有安全生产监督管理职责的部门报告或者举报。</w:t>
      </w:r>
    </w:p>
    <w:p w14:paraId="33B195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因安全生产违法行为造成重大事故隐患或者导致重大事故，致使国家利益或者社会公共利益受到侵害的，人民检察院可以根据民事诉讼法、行政诉讼法的相关规定提起公益诉讼。</w:t>
      </w:r>
    </w:p>
    <w:p w14:paraId="67F17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居民委员会、村民委员会发现其所在区域内的生产经营单位存在事故隐患或者安全生产违法行为时，应当向当地人民政府或者有关部门报告。</w:t>
      </w:r>
    </w:p>
    <w:p w14:paraId="2809D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县级以上各级人民政府及其有关部门对报告重大事故隐患或者举报安全生产违法行为的有功人员，给予奖励。具体奖励办法由国务院应急管理部门会同国务院财政部门制定。</w:t>
      </w:r>
    </w:p>
    <w:p w14:paraId="29CBA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新闻、出版、广播、电影、电视等单位有进行安全生产公益宣传教育的义务，有对违反安全生产法律、法规的行为进行舆论监督的权利。</w:t>
      </w:r>
    </w:p>
    <w:p w14:paraId="0017A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14:paraId="0C925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14:paraId="4A2C1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rPr>
        <w:t>第五章　生产安全事故的应急救援与调查处理</w:t>
      </w:r>
    </w:p>
    <w:p w14:paraId="1E213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第七十九条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14:paraId="22352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14:paraId="4E8A8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县级以上地方各级人民政府应当组织有关部门制定本行政区域内生产安全事故应急救援预案，建立应急救援体系。</w:t>
      </w:r>
    </w:p>
    <w:p w14:paraId="020F2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乡镇人民政府和街道办事处，以及开发区、工业园区、港区、风景区等应当制定相应的生产安全事故应急救援预案，协助人民政府有关部门或者按照授权依法履行生产安全事故应急救援工作职责。</w:t>
      </w:r>
    </w:p>
    <w:p w14:paraId="761F3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生产经营单位应当制定本单位生产安全事故应急救援预案，与所在地县级以上地方人民政府组织制定的生产安全事故应急救援预案相衔接，并定期组织演练。</w:t>
      </w:r>
    </w:p>
    <w:p w14:paraId="3BC0EA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危险物品的生产、经营、储存单位以及矿山、金属冶炼、城市轨道交通运营、建筑施工单位应当建立应急救援组织；生产经营规模较小的，可以不建立应急救援组织，但应当指定兼职的应急救援人员。</w:t>
      </w:r>
    </w:p>
    <w:p w14:paraId="3A8D9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危险物品的生产、经营、储存、运输单位以及矿山、金属冶炼、城市轨道交通运营、建筑施工单位应当配备必要的应急救援器材、设备和物资，并进行经常性维护、保养，保证正常运转。</w:t>
      </w:r>
    </w:p>
    <w:p w14:paraId="1E057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生产经营单位发生生产安全事故后，事故现场有关人员应当立即报告本单位负责人。</w:t>
      </w:r>
    </w:p>
    <w:p w14:paraId="58D32F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14:paraId="0B6D75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负有安全生产监督管理职责的部门接到事故报告后，应当立即按照国家有关规定上报事故情况。负有安全生产监督管理职责的部门和有关地方人民政府对事故情况不得隐瞒不报、谎报或者迟报。</w:t>
      </w:r>
    </w:p>
    <w:p w14:paraId="6146C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有关地方人民政府和负有安全生产监督管理职责的部门的负责人接到生产安全事故报告后，应当按照生产安全事故应急救援预案的要求立即赶到事故现场，组织事故抢救。</w:t>
      </w:r>
    </w:p>
    <w:p w14:paraId="0B337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参与事故抢救的部门和单位应当服从统一指挥，加强协同联动，采取有效的应急救援措施，并根据事故救援的需要采取警戒、疏散等措施，防止事故扩大和次生灾害的发生，减少人员伤亡和财产损失。</w:t>
      </w:r>
    </w:p>
    <w:p w14:paraId="31C105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事故抢救过程中应当采取必要措施，避免或者减少对环境造成的危害。</w:t>
      </w:r>
    </w:p>
    <w:p w14:paraId="303EF4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任何单位和个人都应当支持、配合事故抢救，并提供一切便利条件。</w:t>
      </w:r>
    </w:p>
    <w:p w14:paraId="12358F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14:paraId="44344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事故发生单位应当及时全面落实整改措施，负有安全生产监督管理职责的部门应当加强监督检查。</w:t>
      </w:r>
    </w:p>
    <w:p w14:paraId="7FAF5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14:paraId="252CA1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14:paraId="3F58B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任何单位和个人不得阻挠和干涉对事故的依法调查处理。</w:t>
      </w:r>
    </w:p>
    <w:p w14:paraId="6DEF7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第八十九条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县级以上地方各级人民政府应急管理部门应当定期统计分析本行政区域内发生生产安全事故的情况，并定期向社会公布。</w:t>
      </w:r>
    </w:p>
    <w:p w14:paraId="6D75C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rPr>
        <w:t>第六章　法律责任</w:t>
      </w:r>
    </w:p>
    <w:p w14:paraId="36092E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负有安全生产监督管理职责的部门的工作人员，有下列行为之一的，给予降级或者撤职的处分；构成犯罪的，依照刑法有关规定追究刑事责任:</w:t>
      </w:r>
    </w:p>
    <w:p w14:paraId="720A5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（一）对不符合法定安全生产条件的涉及安全生产的事项予以批准或者验收通过的；</w:t>
      </w:r>
    </w:p>
    <w:p w14:paraId="64ECB7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（二）发现未依法取得批准、验收的单位擅自从事有关活动或者接到举报后不予取缔或者不依法予以处理的；</w:t>
      </w:r>
    </w:p>
    <w:p w14:paraId="582017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（三）对已经依法取得批准的单位不履行监督管理职责，发现其不再具备安全生产条件而不撤销原批准或者发现安全生产违法行为不予查处的；</w:t>
      </w:r>
    </w:p>
    <w:p w14:paraId="154051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（四）在监督检查中发现重大事故隐患，不依法及时处理的。</w:t>
      </w:r>
    </w:p>
    <w:p w14:paraId="2EB7D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负有安全生产监督管理职责的部门的工作人员有前款规定以外的滥用职权、玩忽职守、徇私舞弊行为的，依法给予处分；构成犯罪的，依照刑法有关规定追究刑事责任。</w:t>
      </w:r>
    </w:p>
    <w:p w14:paraId="207D42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14:paraId="45E1C5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承担安全评价、认证、检测、检验职责的机构出具失实报告的，责令停业整顿，并处三万元以上十万元以下的罚款；给他人造成损害的，依法承担赔偿责任。</w:t>
      </w:r>
    </w:p>
    <w:p w14:paraId="15BF4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5D3089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对有前款违法行为的机构及其直接责任人员，吊销其相应资质和资格，五年内不得从事安全评价、认证、检测、检验等工作；情节严重的，实行终身行业和职业禁入。</w:t>
      </w:r>
    </w:p>
    <w:p w14:paraId="5A9719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4D9CBA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有前款违法行为，导致发生生产安全事故的，对生产经营单位的主要负责人给予撤职处分，对个人经营的投资人处二万元以上二十万元以下的罚款；构成犯罪的，依照刑法有关规定追究刑事责任。</w:t>
      </w:r>
    </w:p>
    <w:p w14:paraId="008A82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生产经营单位的主要负责人未履行本法规定的安全生产管理职责的，责令限期改正，处二万元以上五万元以下的罚款；逾期未改正的，处五万元以上十万元以下的罚款，责令生产经营单位停产停业整顿。</w:t>
      </w:r>
    </w:p>
    <w:p w14:paraId="2B75EE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生产经营单位的主要负责人有前款违法行为，导致发生生产安全事故的，给予撤职处分；构成犯罪的，依照刑法有关规定追究刑事责任。</w:t>
      </w:r>
    </w:p>
    <w:p w14:paraId="6E2E5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46BA6E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生产经营单位的主要负责人未履行本法规定的安全生产管理职责，导致发生生产安全事故的，由应急管理部门依照下列规定处以罚款:</w:t>
      </w:r>
    </w:p>
    <w:p w14:paraId="4230E6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（一）发生一般事故的，处上一年年收入百分之四十的罚款；</w:t>
      </w:r>
    </w:p>
    <w:p w14:paraId="2F9A3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（二）发生较大事故的，处上一年年收入百分之六十的罚款；</w:t>
      </w:r>
    </w:p>
    <w:p w14:paraId="1C5BB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（三）发生重大事故的，处上一年年收入百分之八十的罚款；</w:t>
      </w:r>
    </w:p>
    <w:p w14:paraId="219A13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（四）发生特别重大事故的，处上一年年收入百分之一百的罚款。</w:t>
      </w:r>
    </w:p>
    <w:p w14:paraId="51FAB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73F4D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DFABA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（一）未按照规定设置安全生产管理机构或者配备安全生产管理人员、注册安全工程师的；</w:t>
      </w:r>
    </w:p>
    <w:p w14:paraId="096466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（二）危险物品的生产、经营、储存、装卸单位以及矿山、金属冶炼、建筑施工、运输单位的主要负责人和安全生产管理人员未按照规定经考核合格的；</w:t>
      </w:r>
    </w:p>
    <w:p w14:paraId="734AA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（三）未按照规定对从业人员、被派遣劳动者、实习学生进行安全生产教育和培训，或者未按照规定如实告知有关的安全生产事项的；</w:t>
      </w:r>
    </w:p>
    <w:p w14:paraId="6FEF85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（四）未如实记录安全生产教育和培训情况的；</w:t>
      </w:r>
    </w:p>
    <w:p w14:paraId="5E45E1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（五）未将事故隐患排查治理情况如实记录或者未向从业人员通报的；</w:t>
      </w:r>
    </w:p>
    <w:p w14:paraId="32995A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（六）未按照规定制定生产安全事故应急救援预案或者未定期组织演练的；</w:t>
      </w:r>
    </w:p>
    <w:p w14:paraId="29C15D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（七）特种作业人员未按照规定经专门的安全作业培训并取得相应资格，上岗作业的。</w:t>
      </w:r>
    </w:p>
    <w:p w14:paraId="0CCE4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097185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（一）未按照规定对矿山、金属冶炼建设项目或者用于生产、储存、装卸危险物品的建设项目进行安全评价的；</w:t>
      </w:r>
    </w:p>
    <w:p w14:paraId="02F4B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（二）矿山、金属冶炼建设项目或者用于生产、储存、装卸危险物品的建设项目没有安全设施设计或者安全设施设计未按照规定报经有关部门审查同意的；</w:t>
      </w:r>
    </w:p>
    <w:p w14:paraId="2272D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（三）矿山、金属冶炼建设项目或者用于生产、储存、装卸危险物品的建设项目的施工单位未按照批准的安全设施设计施工的；</w:t>
      </w:r>
    </w:p>
    <w:p w14:paraId="16D457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（四）矿山、金属冶炼建设项目或者用于生产、储存、装卸危险物品的建设项目竣工投入生产或者使用前，安全设施未经验收合格的。</w:t>
      </w:r>
    </w:p>
    <w:p w14:paraId="7565D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第九十九条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99DE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（一）未在有较大危险因素的生产经营场所和有关设施、设备上设置明显的安全警示标志的；</w:t>
      </w:r>
    </w:p>
    <w:p w14:paraId="1696FD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（二）安全设备的安装、使用、检测、改造和报废不符合国家标准或者行业标准的；</w:t>
      </w:r>
    </w:p>
    <w:p w14:paraId="63C2BC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（三）未对安全设备进行经常性维护、保养和定期检测的；</w:t>
      </w:r>
    </w:p>
    <w:p w14:paraId="699C32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（四）关闭、破坏直接关系生产安全的监控、报警、防护、救生设备、设施，或者篡改、隐瞒、销毁其相关数据、信息的；</w:t>
      </w:r>
    </w:p>
    <w:p w14:paraId="0B0124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（五）未为从业人员提供符合国家标准或者行业标准的劳动防护用品的；</w:t>
      </w:r>
    </w:p>
    <w:p w14:paraId="39D5BD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（六）危险物品的容器、运输工具，以及涉及人身安全、危险性较大的海洋石油开采特种设备和矿山井下特种设备未经具有专业资质的机构检测、检验合格，取得安全使用证或者安全标志，投入使用的；</w:t>
      </w:r>
    </w:p>
    <w:p w14:paraId="4250E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（七）使用应当淘汰的危及生产安全的工艺、设备的；</w:t>
      </w:r>
    </w:p>
    <w:p w14:paraId="08C75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（八）餐饮等行业的生产经营单位使用燃气未安装可燃气体报警装置的。</w:t>
      </w:r>
    </w:p>
    <w:p w14:paraId="01941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未经依法批准，擅自生产、经营、运输、储存、使用危险物品或者处置废弃危险物品的，依照有关危险物品安全管理的法律、行政法规的规定予以处罚；构成犯罪的，依照刑法有关规定追究刑事责任。</w:t>
      </w:r>
    </w:p>
    <w:p w14:paraId="06AFA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第一百零一条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01FE85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（一）生产、经营、运输、储存、使用危险物品或者处置废弃危险物品，未建立专门安全管理制度、未采取可靠的安全措施的；</w:t>
      </w:r>
    </w:p>
    <w:p w14:paraId="3DE2C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（二）对重大危险源未登记建档，未进行定期检测、评估、监控，未制定应急预案，或者未告知应急措施的；</w:t>
      </w:r>
    </w:p>
    <w:p w14:paraId="49ACD3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（三）进行爆破、吊装、动火、临时用电以及国务院应急管理部门会同国务院有关部门规定的其他危险作业，未安排专门人员进行现场安全管理的；</w:t>
      </w:r>
    </w:p>
    <w:p w14:paraId="6456A2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（四）未建立安全风险分级管控制度或者未按照安全风险分级采取相应管控措施的；</w:t>
      </w:r>
    </w:p>
    <w:p w14:paraId="74C25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（五）未建立事故隐患排查治理制度，或者重大事故隐患排查治理情况未按照规定报告的。</w:t>
      </w:r>
    </w:p>
    <w:p w14:paraId="774FE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第一百零二条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5FFC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第一百零三条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3FFF3D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35D49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14:paraId="54B675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第一百零四条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14:paraId="7AB0F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第一百零五条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3E5805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（一）生产、经营、储存、使用危险物品的车间、商店、仓库与员工宿舍在同一座建筑内，或者与员工宿舍的距离不符合安全要求的；</w:t>
      </w:r>
    </w:p>
    <w:p w14:paraId="0166BD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（二）生产经营场所和员工宿舍未设有符合紧急疏散需要、标志明显、保持畅通的出口、疏散通道，或者占用、锁闭、封堵生产经营场所或者员工宿舍出口、疏散通道的。</w:t>
      </w:r>
    </w:p>
    <w:p w14:paraId="746A16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第一百零六条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生产经营单位与从业人员订立协议，免除或者减轻其对从业人员因生产安全事故伤亡依法应承担的责任的，该协议无效；对生产经营单位的主要负责人、个人经营的投资人处二万元以上十万元以下的罚款。</w:t>
      </w:r>
    </w:p>
    <w:p w14:paraId="2743D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第一百零七条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生产经营单位的从业人员不落实岗位安全责任，不服从管理，违反安全生产规章制度或者操作规程的，由生产经营单位给予批评教育，依照有关规章制度给予处分；构成犯罪的，依照刑法有关规定追究刑事责任。</w:t>
      </w:r>
    </w:p>
    <w:p w14:paraId="71440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第一百零八条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14:paraId="47364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第一百零九条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高危行业、领域的生产经营单位未按照国家规定投保安全生产责任保险的，责令限期改正，处五万元以上十万元以下的罚款；逾期未改正的，处十万元以上二十万元以下的罚款。</w:t>
      </w:r>
    </w:p>
    <w:p w14:paraId="18011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5C3EDC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生产经营单位的主要负责人对生产安全事故隐瞒不报、谎报或者迟报的，依照前款规定处罚。</w:t>
      </w:r>
    </w:p>
    <w:p w14:paraId="2CB20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第一百一十一条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有关地方人民政府、负有安全生产监督管理职责的部门，对生产安全事故隐瞒不报、谎报或者迟报的，对直接负责的主管人员和其他直接责任人员依法给予处分；构成犯罪的，依照刑法有关规定追究刑事责任。</w:t>
      </w:r>
    </w:p>
    <w:p w14:paraId="38E671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第一百一十二条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生产经营单位违反本法规定，被责令改正且受到罚款处罚，拒不改正的，负有安全生产监督管理职责的部门可以自作出责令改正之日的次日起，按照原处罚数额按日连续处罚。</w:t>
      </w:r>
    </w:p>
    <w:p w14:paraId="47C54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第一百一十三条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14:paraId="1A5E9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（一）存在重大事故隐患，一百八十日内三次或者一年内四次受到本法规定的行政处罚的；</w:t>
      </w:r>
    </w:p>
    <w:p w14:paraId="38F10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（二）经停产停业整顿，仍不具备法律、行政法规和国家标准或者行业标准规定的安全生产条件的；</w:t>
      </w:r>
    </w:p>
    <w:p w14:paraId="76B21A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（三）不具备法律、行政法规和国家标准或者行业标准规定的安全生产条件，导致发生重大、特别重大生产安全事故的；</w:t>
      </w:r>
    </w:p>
    <w:p w14:paraId="3F77BC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（四）拒不执行负有安全生产监督管理职责的部门作出的停产停业整顿决定的。</w:t>
      </w:r>
    </w:p>
    <w:p w14:paraId="0632B1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第一百一十四条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发生生产安全事故，对负有责任的生产经营单位除要求其依法承担相应的赔偿等责任外，由应急管理部门依照下列规定处以罚款:</w:t>
      </w:r>
    </w:p>
    <w:p w14:paraId="03C0C7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（一）发生一般事故的，处三十万元以上一百万元以下的罚款；</w:t>
      </w:r>
    </w:p>
    <w:p w14:paraId="232C3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（二）发生较大事故的，处一百万元以上二百万元以下的罚款；</w:t>
      </w:r>
    </w:p>
    <w:p w14:paraId="6B0063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（三）发生重大事故的，处二百万元以上一千万元以下的罚款；</w:t>
      </w:r>
    </w:p>
    <w:p w14:paraId="21584C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（四）发生特别重大事故的，处一千万元以上二千万元以下的罚款。</w:t>
      </w:r>
    </w:p>
    <w:p w14:paraId="6F67F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发生生产安全事故，情节特别严重、影响特别恶劣的，应急管理部门可以按照前款罚款数额的二倍以上五倍以下对负有责任的生产经营单位处以罚款。</w:t>
      </w:r>
    </w:p>
    <w:p w14:paraId="25BEE4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第一百一十五条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57A695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第一百一十六条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生产经营单位发生生产安全事故造成人员伤亡、他人财产损失的，应当依法承担赔偿责任；拒不承担或者其负责人逃匿的，由人民法院依法强制执行。</w:t>
      </w:r>
    </w:p>
    <w:p w14:paraId="5B8858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生产安全事故的责任人未依法承担赔偿责任，经人民法院依法采取执行措施后，仍不能对受害人给予足额赔偿的，应当继续履行赔偿义务；受害人发现责任人有其他财产的，可以随时请求人民法院执行。</w:t>
      </w:r>
    </w:p>
    <w:p w14:paraId="564FB2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rPr>
        <w:t>第七章　附则</w:t>
      </w:r>
    </w:p>
    <w:p w14:paraId="6B05B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第一百一十七条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本法下列用语的含义:</w:t>
      </w:r>
    </w:p>
    <w:p w14:paraId="012F5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危险物品，是指易燃易爆物品、危险化学品、放射性物品等能够危及人身安全和财产安全的物品。</w:t>
      </w:r>
    </w:p>
    <w:p w14:paraId="2A303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重大危险源，是指长期地或者临时地生产、搬运、使用或者储存危险物品，且危险物品的数量等于或者超过临界量的单元（包括场所和设施）。</w:t>
      </w:r>
    </w:p>
    <w:p w14:paraId="511496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第一百一十八条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本法规定的生产安全一般事故、较大事故、重大事故、特别重大事故的划分标准由国务院规定。</w:t>
      </w:r>
    </w:p>
    <w:p w14:paraId="165EE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仿宋_GB2312" w:hAnsi="宋体" w:eastAsia="仿宋_GB2312" w:cs="仿宋_GB2312"/>
          <w:i w:val="0"/>
          <w:iCs w:val="0"/>
          <w:caps w:val="0"/>
          <w:color w:val="000000"/>
          <w:spacing w:val="0"/>
          <w:sz w:val="32"/>
          <w:szCs w:val="32"/>
          <w:bdr w:val="none" w:color="auto" w:sz="0" w:space="0"/>
        </w:rPr>
        <w:t>国务院应急管理部门和其他负有安全生产监督管理职责的部门应当根据各自的职责分工，制定相关行业、领域重大危险源的辨识标准和重大事故隐患的判定标准。</w:t>
      </w:r>
    </w:p>
    <w:p w14:paraId="0DFE86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第一百一十九条</w:t>
      </w:r>
      <w:r>
        <w:rPr>
          <w:rFonts w:hint="eastAsia" w:ascii="宋体" w:hAnsi="宋体" w:eastAsia="宋体" w:cs="宋体"/>
          <w:i w:val="0"/>
          <w:iCs w:val="0"/>
          <w:caps w:val="0"/>
          <w:color w:val="000000"/>
          <w:spacing w:val="0"/>
          <w:sz w:val="32"/>
          <w:szCs w:val="32"/>
          <w:bdr w:val="none" w:color="auto" w:sz="0" w:space="0"/>
        </w:rPr>
        <w:t>　</w:t>
      </w:r>
      <w:r>
        <w:rPr>
          <w:rFonts w:hint="eastAsia" w:ascii="仿宋_GB2312" w:hAnsi="宋体" w:eastAsia="仿宋_GB2312" w:cs="仿宋_GB2312"/>
          <w:i w:val="0"/>
          <w:iCs w:val="0"/>
          <w:caps w:val="0"/>
          <w:color w:val="000000"/>
          <w:spacing w:val="0"/>
          <w:sz w:val="32"/>
          <w:szCs w:val="32"/>
          <w:bdr w:val="none" w:color="auto" w:sz="0" w:space="0"/>
        </w:rPr>
        <w:t>本法自2002年11月1日起施行。</w:t>
      </w:r>
    </w:p>
    <w:p w14:paraId="157153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456CC"/>
    <w:rsid w:val="22043AB7"/>
    <w:rsid w:val="24200970"/>
    <w:rsid w:val="6694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方正仿宋简体"/>
      <w:snapToGrid/>
      <w:kern w:val="0"/>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2025-05-13T14:23:00Z</dcterms:created>
  <dc:creator>晚风吹</dc:creator>
  <cp:lastModifiedBy>晚风吹</cp:lastModifiedBy>
  <dcterms:modified xsi:type="dcterms:W3CDTF">2025-05-13T14:24:38Z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69234435D94F41C9B27FC4BF151FEF8A_11</vt:lpwstr>
  </property>
  <property fmtid="{D5CDD505-2E9C-101B-9397-08002B2CF9AE}" pid="4" name="KSOTemplateDocerSaveRecord">
    <vt:lpwstr>eyJoZGlkIjoiYWYwNDE3ZTZjYzk3YmIwMjNhYWRjODk3ZDA1ZjFjMjUiLCJ1c2VySWQiOiIxMDI4MjM3NjcwIn0=</vt:lpwstr>
  </property>
</Properties>
</file>